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BB" w:rsidRPr="00B03E2E" w:rsidRDefault="007966BB" w:rsidP="007966BB">
      <w:pPr>
        <w:rPr>
          <w:sz w:val="28"/>
        </w:rPr>
      </w:pPr>
    </w:p>
    <w:p w:rsidR="00F7711B" w:rsidRPr="00B03E2E" w:rsidRDefault="00F7711B" w:rsidP="00F7711B">
      <w:pPr>
        <w:pStyle w:val="Heading1"/>
        <w:rPr>
          <w:sz w:val="40"/>
        </w:rPr>
      </w:pPr>
      <w:r w:rsidRPr="00B03E2E">
        <w:rPr>
          <w:sz w:val="40"/>
        </w:rPr>
        <w:t>Key terms and Excel vocabulary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Data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any information that is collected or researched. This can be numbers or words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Survey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a means of collecting information about the frequency of something occurring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Tally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a means by which to record the frequency of an occurrence, often used when conducting a survey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Cell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one of the individual sections in Excel where you can enter text or numbers. All cells have a reference location, similar to a grid reference, consisting of one number and one letter.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Spreadsheet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a whole page of Excel cells that you can work with. There are multiple sheets within an Excel workbook.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Graph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a means of visually depicting data or information to make it easier to interpret. There are a range of different graphs.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Bar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 xml:space="preserve"> </w:t>
      </w: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graph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one that represents data as ‘bars’. The length of each bar extends to the amount of that data type there is.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Pie chart (graph)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represents the fraction that each form of data takes up from the whole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Column 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– a vertical row or list. Data that is put above or below one another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Row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a horizontal row or list. Data that is arranged left to right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Copying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creating a duplicate of something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Pasting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making use of a duplicate of something that has been copied earlier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Decompose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when material breaks down until it is reintegrated back into the environment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Rubbish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anything that we throw away or dispose of, regardless of the reason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Output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the final result of an equation or calculation</w:t>
      </w:r>
    </w:p>
    <w:p w:rsidR="00F7711B" w:rsidRPr="00B03E2E" w:rsidRDefault="00F7711B" w:rsidP="00F7711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Bidi"/>
          <w:sz w:val="28"/>
          <w:szCs w:val="22"/>
          <w:lang w:val="en-AU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Formula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an equation or calculation</w:t>
      </w:r>
    </w:p>
    <w:p w:rsidR="00F7711B" w:rsidRDefault="00F7711B" w:rsidP="00B03E2E">
      <w:pPr>
        <w:pStyle w:val="NormalWeb"/>
        <w:shd w:val="clear" w:color="auto" w:fill="FFFFFF"/>
        <w:spacing w:before="0" w:beforeAutospacing="0" w:after="150" w:afterAutospacing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3E2E">
        <w:rPr>
          <w:rFonts w:asciiTheme="minorHAnsi" w:hAnsiTheme="minorHAnsi" w:cstheme="minorBidi"/>
          <w:b/>
          <w:sz w:val="28"/>
          <w:szCs w:val="22"/>
          <w:lang w:val="en-AU"/>
        </w:rPr>
        <w:t>SUM</w:t>
      </w:r>
      <w:r w:rsidRPr="00B03E2E">
        <w:rPr>
          <w:rFonts w:asciiTheme="minorHAnsi" w:hAnsiTheme="minorHAnsi" w:cstheme="minorBidi"/>
          <w:sz w:val="28"/>
          <w:szCs w:val="22"/>
          <w:lang w:val="en-AU"/>
        </w:rPr>
        <w:t> – the SUM function adds everything within the range specified. ‘=SUM(A1:A4)’ will add everything between ‘A1’ and ‘A4’.</w:t>
      </w:r>
      <w:bookmarkStart w:id="0" w:name="_GoBack"/>
      <w:bookmarkEnd w:id="0"/>
    </w:p>
    <w:p w:rsidR="00F7711B" w:rsidRDefault="00F7711B" w:rsidP="0088284B">
      <w:pPr>
        <w:shd w:val="clear" w:color="auto" w:fill="FFFFFF"/>
        <w:spacing w:before="300" w:after="150" w:line="240" w:lineRule="auto"/>
        <w:outlineLvl w:val="2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ectPr w:rsidR="00F7711B" w:rsidSect="007966BB">
      <w:headerReference w:type="default" r:id="rId7"/>
      <w:footerReference w:type="default" r:id="rId8"/>
      <w:pgSz w:w="11906" w:h="16838"/>
      <w:pgMar w:top="1440" w:right="1440" w:bottom="1440" w:left="1440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3E" w:rsidRDefault="0085653E" w:rsidP="00CA16A9">
      <w:pPr>
        <w:spacing w:after="0" w:line="240" w:lineRule="auto"/>
      </w:pPr>
      <w:r>
        <w:separator/>
      </w:r>
    </w:p>
  </w:endnote>
  <w:endnote w:type="continuationSeparator" w:id="0">
    <w:p w:rsidR="0085653E" w:rsidRDefault="0085653E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FF" w:rsidRDefault="008E5AFF" w:rsidP="008E5AFF">
    <w:pPr>
      <w:pStyle w:val="Footer"/>
      <w:ind w:left="-993"/>
      <w:rPr>
        <w:noProof/>
        <w:sz w:val="16"/>
        <w:lang w:eastAsia="en-AU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4E8CB6E" wp14:editId="01D12272">
          <wp:simplePos x="0" y="0"/>
          <wp:positionH relativeFrom="column">
            <wp:posOffset>4213225</wp:posOffset>
          </wp:positionH>
          <wp:positionV relativeFrom="paragraph">
            <wp:posOffset>-234315</wp:posOffset>
          </wp:positionV>
          <wp:extent cx="2368550" cy="725805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:rsidR="00CA16A9" w:rsidRDefault="008E5AFF" w:rsidP="008E5AFF">
    <w:pPr>
      <w:pStyle w:val="Footer"/>
      <w:ind w:left="-993"/>
    </w:pPr>
    <w:r>
      <w:rPr>
        <w:noProof/>
        <w:sz w:val="16"/>
        <w:lang w:val="en-US"/>
      </w:rPr>
      <w:drawing>
        <wp:inline distT="0" distB="0" distL="0" distR="0" wp14:anchorId="11B5B1C4" wp14:editId="0271702B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2BE3"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3E" w:rsidRDefault="0085653E" w:rsidP="00CA16A9">
      <w:pPr>
        <w:spacing w:after="0" w:line="240" w:lineRule="auto"/>
      </w:pPr>
      <w:r>
        <w:separator/>
      </w:r>
    </w:p>
  </w:footnote>
  <w:footnote w:type="continuationSeparator" w:id="0">
    <w:p w:rsidR="0085653E" w:rsidRDefault="0085653E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A9" w:rsidRPr="003954DD" w:rsidRDefault="005E6EB7" w:rsidP="00F95902">
    <w:pPr>
      <w:pStyle w:val="Title"/>
    </w:pPr>
    <w:r w:rsidRPr="003954DD">
      <w:rPr>
        <w:lang w:val="en-US" w:eastAsia="en-US"/>
      </w:rPr>
      <w:drawing>
        <wp:anchor distT="0" distB="0" distL="114300" distR="114300" simplePos="0" relativeHeight="251659264" behindDoc="1" locked="0" layoutInCell="1" allowOverlap="1" wp14:anchorId="1ED4C9FE" wp14:editId="6455C719">
          <wp:simplePos x="0" y="0"/>
          <wp:positionH relativeFrom="column">
            <wp:posOffset>-911134</wp:posOffset>
          </wp:positionH>
          <wp:positionV relativeFrom="paragraph">
            <wp:posOffset>-453934</wp:posOffset>
          </wp:positionV>
          <wp:extent cx="7566660" cy="929640"/>
          <wp:effectExtent l="0" t="0" r="0" b="3810"/>
          <wp:wrapNone/>
          <wp:docPr id="3" name="Picture 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1B">
      <w:t>Rubbish recording and reduction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87D"/>
    <w:multiLevelType w:val="multilevel"/>
    <w:tmpl w:val="8440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647BC"/>
    <w:multiLevelType w:val="multilevel"/>
    <w:tmpl w:val="6C4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F29C8"/>
    <w:rsid w:val="00395274"/>
    <w:rsid w:val="003954DD"/>
    <w:rsid w:val="00395908"/>
    <w:rsid w:val="003F1C8B"/>
    <w:rsid w:val="005907BB"/>
    <w:rsid w:val="005E6EB7"/>
    <w:rsid w:val="00641DF3"/>
    <w:rsid w:val="006D50AE"/>
    <w:rsid w:val="007966BB"/>
    <w:rsid w:val="0085653E"/>
    <w:rsid w:val="0088284B"/>
    <w:rsid w:val="008A568A"/>
    <w:rsid w:val="008E5AFF"/>
    <w:rsid w:val="00965CB6"/>
    <w:rsid w:val="00965FE6"/>
    <w:rsid w:val="00A0259F"/>
    <w:rsid w:val="00B03E2E"/>
    <w:rsid w:val="00C07DA6"/>
    <w:rsid w:val="00C60DFA"/>
    <w:rsid w:val="00CA16A9"/>
    <w:rsid w:val="00D32BE3"/>
    <w:rsid w:val="00E7075D"/>
    <w:rsid w:val="00EC026D"/>
    <w:rsid w:val="00F7711B"/>
    <w:rsid w:val="00F95902"/>
    <w:rsid w:val="00FB1638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963D27"/>
  <w15:docId w15:val="{AB58FDF5-8F71-40DF-9600-112F5073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796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6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D32BE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66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6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6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8A56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A5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- detailed explanations</vt:lpstr>
    </vt:vector>
  </TitlesOfParts>
  <Company>Education Services Australia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- detailed explanations</dc:title>
  <dc:creator>Lucy Booth</dc:creator>
  <cp:lastModifiedBy>Boundy, Simon</cp:lastModifiedBy>
  <cp:revision>4</cp:revision>
  <cp:lastPrinted>2016-10-11T21:48:00Z</cp:lastPrinted>
  <dcterms:created xsi:type="dcterms:W3CDTF">2016-10-12T02:47:00Z</dcterms:created>
  <dcterms:modified xsi:type="dcterms:W3CDTF">2016-10-12T02:50:00Z</dcterms:modified>
</cp:coreProperties>
</file>