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2A04C0" w14:textId="162320C6" w:rsidR="00E33403" w:rsidRPr="009364E7" w:rsidRDefault="00E33403">
      <w:pPr>
        <w:pStyle w:val="Heading2"/>
        <w:shd w:val="clear" w:color="auto" w:fill="FFFFFF"/>
        <w:spacing w:after="440"/>
        <w:contextualSpacing w:val="0"/>
      </w:pPr>
      <w:bookmarkStart w:id="0" w:name="_l0fn79qu1zj3" w:colFirst="0" w:colLast="0"/>
      <w:bookmarkEnd w:id="0"/>
      <w:r w:rsidRPr="009364E7">
        <w:t xml:space="preserve">Title: Solar energy installations </w:t>
      </w:r>
    </w:p>
    <w:p w14:paraId="503FCBB3" w14:textId="63D929EB" w:rsidR="004E312B" w:rsidRPr="009364E7" w:rsidRDefault="0005626B">
      <w:pPr>
        <w:pStyle w:val="Heading2"/>
        <w:shd w:val="clear" w:color="auto" w:fill="FFFFFF"/>
        <w:spacing w:after="440"/>
        <w:contextualSpacing w:val="0"/>
      </w:pPr>
      <w:r w:rsidRPr="009364E7">
        <w:t>Description</w:t>
      </w:r>
    </w:p>
    <w:p w14:paraId="3A7671A3" w14:textId="1FBC0C94" w:rsidR="001D1844" w:rsidRPr="009364E7" w:rsidRDefault="001D1844" w:rsidP="001D1844">
      <w:r w:rsidRPr="009364E7">
        <w:rPr>
          <w:noProof/>
          <w:lang w:val="en-US"/>
        </w:rPr>
        <w:drawing>
          <wp:inline distT="0" distB="0" distL="0" distR="0" wp14:anchorId="11604CB9" wp14:editId="29099371">
            <wp:extent cx="2756535" cy="2067401"/>
            <wp:effectExtent l="0" t="0" r="5715" b="9525"/>
            <wp:docPr id="5" name="Picture 5" descr="Solar panels on a ro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olar-panel-array-1794514_1920.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59685" cy="2069764"/>
                    </a:xfrm>
                    <a:prstGeom prst="rect">
                      <a:avLst/>
                    </a:prstGeom>
                  </pic:spPr>
                </pic:pic>
              </a:graphicData>
            </a:graphic>
          </wp:inline>
        </w:drawing>
      </w:r>
    </w:p>
    <w:p w14:paraId="6CF24B5C" w14:textId="77777777" w:rsidR="001D1844" w:rsidRPr="009364E7" w:rsidRDefault="001D1844" w:rsidP="001D1844">
      <w:pPr>
        <w:rPr>
          <w:sz w:val="20"/>
          <w:szCs w:val="20"/>
        </w:rPr>
      </w:pPr>
      <w:r w:rsidRPr="009364E7">
        <w:rPr>
          <w:sz w:val="20"/>
          <w:szCs w:val="20"/>
        </w:rPr>
        <w:t xml:space="preserve">Source: </w:t>
      </w:r>
      <w:hyperlink r:id="rId9" w:history="1">
        <w:r w:rsidRPr="009364E7">
          <w:rPr>
            <w:rStyle w:val="Hyperlink"/>
            <w:sz w:val="20"/>
            <w:szCs w:val="20"/>
          </w:rPr>
          <w:t>Pixabay</w:t>
        </w:r>
      </w:hyperlink>
      <w:r w:rsidRPr="009364E7">
        <w:rPr>
          <w:sz w:val="20"/>
          <w:szCs w:val="20"/>
        </w:rPr>
        <w:t xml:space="preserve"> </w:t>
      </w:r>
    </w:p>
    <w:p w14:paraId="2641FDC3" w14:textId="77777777" w:rsidR="001D1844" w:rsidRPr="009364E7" w:rsidRDefault="001D1844" w:rsidP="001D1844"/>
    <w:p w14:paraId="4667CD1B" w14:textId="1CF8B8AA" w:rsidR="0062005E" w:rsidRPr="009364E7" w:rsidRDefault="0062005E" w:rsidP="0062005E">
      <w:pPr>
        <w:contextualSpacing w:val="0"/>
        <w:rPr>
          <w:rStyle w:val="Hyperlink"/>
          <w:lang w:val="en-AU"/>
        </w:rPr>
      </w:pPr>
      <w:r w:rsidRPr="009364E7">
        <w:t xml:space="preserve">This lesson uses data about </w:t>
      </w:r>
      <w:r w:rsidR="00027020" w:rsidRPr="009364E7">
        <w:t xml:space="preserve">solar energy installations </w:t>
      </w:r>
      <w:r w:rsidRPr="009364E7">
        <w:t xml:space="preserve">to investigate data analysis. The dataset shows </w:t>
      </w:r>
      <w:r w:rsidR="00027020" w:rsidRPr="009364E7">
        <w:t xml:space="preserve">how many solar systems were installed, in each postcode, from 2001 </w:t>
      </w:r>
      <w:r w:rsidR="00F3333D" w:rsidRPr="009364E7">
        <w:t>to</w:t>
      </w:r>
      <w:r w:rsidR="00027020" w:rsidRPr="009364E7">
        <w:t xml:space="preserve"> 2016. It is a </w:t>
      </w:r>
      <w:r w:rsidRPr="009364E7">
        <w:t>useful</w:t>
      </w:r>
      <w:r w:rsidR="00027020" w:rsidRPr="009364E7">
        <w:t xml:space="preserve"> way to understand how to explore and characterise datasets as well as </w:t>
      </w:r>
      <w:r w:rsidR="00F3333D" w:rsidRPr="009364E7">
        <w:t xml:space="preserve">to </w:t>
      </w:r>
      <w:r w:rsidR="00027020" w:rsidRPr="009364E7">
        <w:t>explore the use of data in the media</w:t>
      </w:r>
      <w:r w:rsidR="00046247" w:rsidRPr="009364E7">
        <w:t>.</w:t>
      </w:r>
      <w:r w:rsidR="00027020" w:rsidRPr="009364E7">
        <w:t xml:space="preserve"> </w:t>
      </w:r>
      <w:r w:rsidR="00046247" w:rsidRPr="009364E7">
        <w:t>T</w:t>
      </w:r>
      <w:r w:rsidR="00027020" w:rsidRPr="009364E7">
        <w:t xml:space="preserve">he media reporting of this dataset makes a classic mistake, doing a simple analysis that </w:t>
      </w:r>
      <w:r w:rsidR="00F3333D" w:rsidRPr="009364E7">
        <w:t xml:space="preserve">gives a misleading conclusion. </w:t>
      </w:r>
      <w:r w:rsidR="00027020" w:rsidRPr="009364E7">
        <w:t>This is a rich dataset that offers a range of options for exploration.</w:t>
      </w:r>
      <w:r w:rsidR="00046247" w:rsidRPr="009364E7">
        <w:rPr>
          <w:lang w:val="en-AU"/>
        </w:rPr>
        <w:t xml:space="preserve"> </w:t>
      </w:r>
      <w:r w:rsidRPr="009364E7">
        <w:rPr>
          <w:lang w:val="en-AU"/>
        </w:rPr>
        <w:t>This lesson was devised by Linda McIver, </w:t>
      </w:r>
      <w:hyperlink r:id="rId10" w:tgtFrame="_blank" w:history="1">
        <w:r w:rsidRPr="009364E7">
          <w:rPr>
            <w:rStyle w:val="Hyperlink"/>
            <w:lang w:val="en-AU"/>
          </w:rPr>
          <w:t>Australian Data Science Education Institute.</w:t>
        </w:r>
      </w:hyperlink>
    </w:p>
    <w:p w14:paraId="56713B19" w14:textId="2D525AFA" w:rsidR="00E33403" w:rsidRPr="009364E7" w:rsidRDefault="00E33403" w:rsidP="0062005E">
      <w:pPr>
        <w:contextualSpacing w:val="0"/>
        <w:rPr>
          <w:rStyle w:val="Hyperlink"/>
          <w:lang w:val="en-AU"/>
        </w:rPr>
      </w:pPr>
    </w:p>
    <w:p w14:paraId="4CA75840" w14:textId="342910AC" w:rsidR="00E33403" w:rsidRPr="009364E7" w:rsidRDefault="00E33403" w:rsidP="00E33403">
      <w:pPr>
        <w:contextualSpacing w:val="0"/>
        <w:rPr>
          <w:sz w:val="32"/>
          <w:szCs w:val="32"/>
        </w:rPr>
      </w:pPr>
      <w:r w:rsidRPr="009364E7">
        <w:rPr>
          <w:sz w:val="32"/>
          <w:szCs w:val="32"/>
        </w:rPr>
        <w:t xml:space="preserve">Learning intentions </w:t>
      </w:r>
    </w:p>
    <w:p w14:paraId="4AF15E86" w14:textId="70AC7630" w:rsidR="00E33403" w:rsidRPr="009364E7" w:rsidRDefault="00E33403" w:rsidP="009364E7">
      <w:pPr>
        <w:pStyle w:val="ListParagraph"/>
        <w:numPr>
          <w:ilvl w:val="0"/>
          <w:numId w:val="17"/>
        </w:numPr>
        <w:contextualSpacing w:val="0"/>
        <w:rPr>
          <w:lang w:val="en-AU"/>
        </w:rPr>
      </w:pPr>
      <w:r w:rsidRPr="009364E7">
        <w:rPr>
          <w:lang w:val="en-AU"/>
        </w:rPr>
        <w:t xml:space="preserve">Analyse data about </w:t>
      </w:r>
      <w:r w:rsidRPr="009364E7">
        <w:t>solar energy installations</w:t>
      </w:r>
      <w:r w:rsidRPr="009364E7">
        <w:rPr>
          <w:lang w:val="en-AU"/>
        </w:rPr>
        <w:t>.</w:t>
      </w:r>
    </w:p>
    <w:p w14:paraId="461272EA" w14:textId="77777777" w:rsidR="00E33403" w:rsidRPr="009364E7" w:rsidRDefault="00E33403" w:rsidP="009364E7">
      <w:pPr>
        <w:pStyle w:val="ListParagraph"/>
        <w:numPr>
          <w:ilvl w:val="0"/>
          <w:numId w:val="17"/>
        </w:numPr>
        <w:contextualSpacing w:val="0"/>
        <w:rPr>
          <w:lang w:val="en-AU"/>
        </w:rPr>
      </w:pPr>
      <w:r w:rsidRPr="009364E7">
        <w:rPr>
          <w:lang w:val="en-AU"/>
        </w:rPr>
        <w:t>Save, store and access datasets and use data cleaning techniques</w:t>
      </w:r>
    </w:p>
    <w:p w14:paraId="28C41B44" w14:textId="1634C664" w:rsidR="00E33403" w:rsidRPr="009364E7" w:rsidRDefault="00E33403" w:rsidP="009364E7">
      <w:pPr>
        <w:pStyle w:val="ListParagraph"/>
        <w:numPr>
          <w:ilvl w:val="0"/>
          <w:numId w:val="17"/>
        </w:numPr>
        <w:contextualSpacing w:val="0"/>
        <w:rPr>
          <w:lang w:val="en-AU"/>
        </w:rPr>
      </w:pPr>
      <w:r w:rsidRPr="009364E7">
        <w:rPr>
          <w:lang w:val="en-AU"/>
        </w:rPr>
        <w:t xml:space="preserve">Sort and filter datasets to make sense of data to answer particular inquiry questions </w:t>
      </w:r>
    </w:p>
    <w:p w14:paraId="4B78FF83" w14:textId="14C5E7A6" w:rsidR="00E33403" w:rsidRPr="009364E7" w:rsidRDefault="00A45820" w:rsidP="009364E7">
      <w:pPr>
        <w:pStyle w:val="ListParagraph"/>
        <w:numPr>
          <w:ilvl w:val="0"/>
          <w:numId w:val="17"/>
        </w:numPr>
        <w:contextualSpacing w:val="0"/>
        <w:rPr>
          <w:lang w:val="en-AU"/>
        </w:rPr>
      </w:pPr>
      <w:r w:rsidRPr="009364E7">
        <w:rPr>
          <w:lang w:val="en-AU"/>
        </w:rPr>
        <w:t xml:space="preserve">Visualise data using online mapping software or as a chart such as a histogram or column graph. </w:t>
      </w:r>
    </w:p>
    <w:p w14:paraId="4084947A" w14:textId="117C4DED" w:rsidR="00A45820" w:rsidRPr="009364E7" w:rsidRDefault="00A45820">
      <w:pPr>
        <w:pStyle w:val="Heading2"/>
        <w:contextualSpacing w:val="0"/>
      </w:pPr>
      <w:bookmarkStart w:id="1" w:name="_3rnynsoie5g8" w:colFirst="0" w:colLast="0"/>
      <w:bookmarkStart w:id="2" w:name="_rzjco06zn6yv" w:colFirst="0" w:colLast="0"/>
      <w:bookmarkEnd w:id="1"/>
      <w:bookmarkEnd w:id="2"/>
      <w:r w:rsidRPr="009364E7">
        <w:t xml:space="preserve">Suggested steps </w:t>
      </w:r>
    </w:p>
    <w:p w14:paraId="64738F49" w14:textId="54EB688B" w:rsidR="004E312B" w:rsidRPr="009364E7" w:rsidRDefault="0062005E">
      <w:pPr>
        <w:pStyle w:val="Heading2"/>
        <w:contextualSpacing w:val="0"/>
      </w:pPr>
      <w:r w:rsidRPr="009364E7">
        <w:t>Learning hook</w:t>
      </w:r>
    </w:p>
    <w:p w14:paraId="404CD0FD" w14:textId="77777777" w:rsidR="0062005E" w:rsidRPr="009364E7" w:rsidRDefault="0062005E" w:rsidP="00754A2E">
      <w:pPr>
        <w:spacing w:before="120" w:after="120"/>
        <w:contextualSpacing w:val="0"/>
      </w:pPr>
      <w:r w:rsidRPr="009364E7">
        <w:t xml:space="preserve">Solar installations seem to be popular in domestic housing. Why do </w:t>
      </w:r>
      <w:r w:rsidR="00242A89" w:rsidRPr="009364E7">
        <w:t>people install solar systems</w:t>
      </w:r>
      <w:r w:rsidR="00F3333D" w:rsidRPr="009364E7">
        <w:t>,</w:t>
      </w:r>
      <w:r w:rsidR="00242A89" w:rsidRPr="009364E7">
        <w:t xml:space="preserve"> and is there an upward trend in installation across Australia? </w:t>
      </w:r>
    </w:p>
    <w:p w14:paraId="1761F0F9" w14:textId="2CDE80C7" w:rsidR="002D3128" w:rsidRPr="009364E7" w:rsidRDefault="0062005E" w:rsidP="009F050E">
      <w:pPr>
        <w:spacing w:after="120"/>
        <w:contextualSpacing w:val="0"/>
      </w:pPr>
      <w:r w:rsidRPr="009364E7">
        <w:t>View</w:t>
      </w:r>
      <w:r w:rsidR="00027020" w:rsidRPr="009364E7">
        <w:t xml:space="preserve"> the </w:t>
      </w:r>
      <w:r w:rsidRPr="009364E7">
        <w:t xml:space="preserve">video </w:t>
      </w:r>
      <w:hyperlink r:id="rId11" w:history="1">
        <w:r w:rsidR="00F3333D" w:rsidRPr="009364E7">
          <w:rPr>
            <w:rStyle w:val="Hyperlink"/>
          </w:rPr>
          <w:t>Renewable Energy 101: National Geographic</w:t>
        </w:r>
      </w:hyperlink>
      <w:r w:rsidR="00027020" w:rsidRPr="009364E7">
        <w:t xml:space="preserve"> </w:t>
      </w:r>
      <w:r w:rsidR="00332B11" w:rsidRPr="009364E7">
        <w:t xml:space="preserve">(3 minutes) </w:t>
      </w:r>
      <w:r w:rsidR="00027020" w:rsidRPr="009364E7">
        <w:t>and discuss how renewable ener</w:t>
      </w:r>
      <w:r w:rsidR="002D3128" w:rsidRPr="009364E7">
        <w:t xml:space="preserve">gy can address climate change. </w:t>
      </w:r>
    </w:p>
    <w:p w14:paraId="68A74CA9" w14:textId="191A550F" w:rsidR="004E312B" w:rsidRPr="009364E7" w:rsidRDefault="0062005E" w:rsidP="009F050E">
      <w:pPr>
        <w:spacing w:after="120"/>
        <w:contextualSpacing w:val="0"/>
      </w:pPr>
      <w:r w:rsidRPr="009364E7">
        <w:t>Alternatively</w:t>
      </w:r>
      <w:r w:rsidR="00027020" w:rsidRPr="009364E7">
        <w:t xml:space="preserve">, </w:t>
      </w:r>
      <w:r w:rsidRPr="009364E7">
        <w:t>view</w:t>
      </w:r>
      <w:r w:rsidR="00027020" w:rsidRPr="009364E7">
        <w:t xml:space="preserve"> </w:t>
      </w:r>
      <w:r w:rsidRPr="009364E7">
        <w:t xml:space="preserve">the video </w:t>
      </w:r>
      <w:hyperlink r:id="rId12" w:history="1">
        <w:r w:rsidR="00F3333D" w:rsidRPr="009364E7">
          <w:rPr>
            <w:rStyle w:val="Hyperlink"/>
          </w:rPr>
          <w:t>How Do Solar Panels Work?</w:t>
        </w:r>
      </w:hyperlink>
      <w:r w:rsidR="00027020" w:rsidRPr="009364E7">
        <w:t xml:space="preserve"> </w:t>
      </w:r>
      <w:r w:rsidR="00332B11" w:rsidRPr="009364E7">
        <w:t xml:space="preserve">(5 minutes) </w:t>
      </w:r>
      <w:r w:rsidR="00027020" w:rsidRPr="009364E7">
        <w:t>and discuss the impact of solar panels on household CO</w:t>
      </w:r>
      <w:r w:rsidR="00027020" w:rsidRPr="009364E7">
        <w:rPr>
          <w:vertAlign w:val="subscript"/>
        </w:rPr>
        <w:t>2</w:t>
      </w:r>
      <w:r w:rsidR="00027020" w:rsidRPr="009364E7">
        <w:t xml:space="preserve"> emissions.</w:t>
      </w:r>
    </w:p>
    <w:p w14:paraId="25C9E8D0" w14:textId="35DEF437" w:rsidR="002D3128" w:rsidRPr="009364E7" w:rsidRDefault="001D1844" w:rsidP="009F050E">
      <w:pPr>
        <w:spacing w:before="120" w:after="120"/>
        <w:contextualSpacing w:val="0"/>
        <w:rPr>
          <w:b/>
          <w:bCs/>
        </w:rPr>
      </w:pPr>
      <w:r w:rsidRPr="009364E7">
        <w:t xml:space="preserve">Provide </w:t>
      </w:r>
      <w:r w:rsidR="001E626E" w:rsidRPr="009364E7">
        <w:t xml:space="preserve">students with a </w:t>
      </w:r>
      <w:r w:rsidR="002D3128" w:rsidRPr="009364E7">
        <w:t xml:space="preserve">dataset found on </w:t>
      </w:r>
      <w:hyperlink r:id="rId13" w:history="1">
        <w:r w:rsidRPr="009364E7">
          <w:rPr>
            <w:rStyle w:val="Hyperlink"/>
            <w:bCs/>
          </w:rPr>
          <w:t>Postcode data for small-scale installations</w:t>
        </w:r>
      </w:hyperlink>
      <w:r w:rsidRPr="009364E7">
        <w:rPr>
          <w:bCs/>
        </w:rPr>
        <w:t>.</w:t>
      </w:r>
      <w:r w:rsidRPr="009364E7">
        <w:rPr>
          <w:b/>
          <w:bCs/>
        </w:rPr>
        <w:t xml:space="preserve"> </w:t>
      </w:r>
      <w:r w:rsidR="009542B5" w:rsidRPr="009364E7">
        <w:rPr>
          <w:bCs/>
        </w:rPr>
        <w:t>Note</w:t>
      </w:r>
      <w:r w:rsidR="002D3128" w:rsidRPr="009364E7">
        <w:rPr>
          <w:bCs/>
        </w:rPr>
        <w:t>:</w:t>
      </w:r>
      <w:r w:rsidR="009542B5" w:rsidRPr="009364E7">
        <w:rPr>
          <w:bCs/>
        </w:rPr>
        <w:t xml:space="preserve"> there </w:t>
      </w:r>
      <w:r w:rsidR="00C80C4E" w:rsidRPr="009364E7">
        <w:rPr>
          <w:bCs/>
        </w:rPr>
        <w:t>is</w:t>
      </w:r>
      <w:r w:rsidR="009542B5" w:rsidRPr="009364E7">
        <w:rPr>
          <w:bCs/>
        </w:rPr>
        <w:t xml:space="preserve"> a range of datasets of this web</w:t>
      </w:r>
      <w:r w:rsidR="002D3128" w:rsidRPr="009364E7">
        <w:rPr>
          <w:bCs/>
        </w:rPr>
        <w:t xml:space="preserve"> </w:t>
      </w:r>
      <w:r w:rsidR="009542B5" w:rsidRPr="009364E7">
        <w:rPr>
          <w:bCs/>
        </w:rPr>
        <w:t>page to accommodate students with differing l</w:t>
      </w:r>
      <w:r w:rsidR="002D3128" w:rsidRPr="009364E7">
        <w:rPr>
          <w:bCs/>
        </w:rPr>
        <w:t>evels of spreadsheeting skills.</w:t>
      </w:r>
    </w:p>
    <w:p w14:paraId="0622AA78" w14:textId="03678FF5" w:rsidR="009542B5" w:rsidRPr="009364E7" w:rsidRDefault="009542B5" w:rsidP="009F050E">
      <w:pPr>
        <w:pStyle w:val="ListParagraph"/>
        <w:spacing w:before="120" w:after="120"/>
        <w:ind w:left="0"/>
        <w:contextualSpacing w:val="0"/>
        <w:rPr>
          <w:b/>
          <w:bCs/>
        </w:rPr>
      </w:pPr>
      <w:r w:rsidRPr="009364E7">
        <w:rPr>
          <w:bCs/>
        </w:rPr>
        <w:t xml:space="preserve">In </w:t>
      </w:r>
      <w:r w:rsidR="00C80C4E" w:rsidRPr="009364E7">
        <w:rPr>
          <w:bCs/>
        </w:rPr>
        <w:t>particular,</w:t>
      </w:r>
      <w:r w:rsidRPr="009364E7">
        <w:rPr>
          <w:bCs/>
        </w:rPr>
        <w:t xml:space="preserve"> use this dataset provided in </w:t>
      </w:r>
      <w:r w:rsidR="00DC2269" w:rsidRPr="009364E7">
        <w:rPr>
          <w:bCs/>
        </w:rPr>
        <w:t>csv</w:t>
      </w:r>
      <w:r w:rsidRPr="009364E7">
        <w:rPr>
          <w:bCs/>
        </w:rPr>
        <w:t xml:space="preserve"> format</w:t>
      </w:r>
      <w:r w:rsidR="001E626E" w:rsidRPr="009364E7">
        <w:rPr>
          <w:bCs/>
        </w:rPr>
        <w:t>:</w:t>
      </w:r>
      <w:r w:rsidRPr="009364E7">
        <w:rPr>
          <w:bCs/>
        </w:rPr>
        <w:t xml:space="preserve"> </w:t>
      </w:r>
    </w:p>
    <w:p w14:paraId="7AF26EE5" w14:textId="25A532DB" w:rsidR="0060240F" w:rsidRPr="009364E7" w:rsidRDefault="005D4F1A" w:rsidP="009364E7">
      <w:pPr>
        <w:pStyle w:val="ListParagraph"/>
        <w:numPr>
          <w:ilvl w:val="0"/>
          <w:numId w:val="3"/>
        </w:numPr>
        <w:ind w:left="360"/>
        <w:contextualSpacing w:val="0"/>
        <w:rPr>
          <w:bCs/>
        </w:rPr>
      </w:pPr>
      <w:hyperlink r:id="rId14" w:history="1">
        <w:r w:rsidR="00DC2269" w:rsidRPr="009364E7">
          <w:rPr>
            <w:rStyle w:val="Hyperlink"/>
            <w:bCs/>
          </w:rPr>
          <w:t>Postcode data for small-scale installations – SGU-Solar</w:t>
        </w:r>
      </w:hyperlink>
    </w:p>
    <w:p w14:paraId="4F734AF1" w14:textId="7D763F31" w:rsidR="004E312B" w:rsidRPr="009364E7" w:rsidRDefault="00027020" w:rsidP="009364E7">
      <w:pPr>
        <w:pStyle w:val="Heading3"/>
      </w:pPr>
      <w:bookmarkStart w:id="3" w:name="_sv7xgcm4cfg1" w:colFirst="0" w:colLast="0"/>
      <w:bookmarkEnd w:id="3"/>
      <w:r w:rsidRPr="009364E7">
        <w:t xml:space="preserve">Step </w:t>
      </w:r>
      <w:r w:rsidR="002F0D3B" w:rsidRPr="009364E7">
        <w:t>1</w:t>
      </w:r>
      <w:r w:rsidRPr="009364E7">
        <w:t xml:space="preserve">: </w:t>
      </w:r>
      <w:r w:rsidR="00656687" w:rsidRPr="009364E7">
        <w:t>D</w:t>
      </w:r>
      <w:r w:rsidRPr="009364E7">
        <w:t xml:space="preserve">ataset </w:t>
      </w:r>
      <w:r w:rsidR="008C2952" w:rsidRPr="009364E7">
        <w:t xml:space="preserve">download </w:t>
      </w:r>
      <w:r w:rsidRPr="009364E7">
        <w:t>and data cleaning</w:t>
      </w:r>
    </w:p>
    <w:p w14:paraId="150EE096" w14:textId="77777777" w:rsidR="004E312B" w:rsidRPr="009364E7" w:rsidRDefault="00027020">
      <w:pPr>
        <w:contextualSpacing w:val="0"/>
      </w:pPr>
      <w:r w:rsidRPr="009364E7">
        <w:t xml:space="preserve">Download the dataset and open the csv file in a spreadsheet. </w:t>
      </w:r>
    </w:p>
    <w:p w14:paraId="76CA9695" w14:textId="77777777" w:rsidR="004E312B" w:rsidRPr="009364E7" w:rsidRDefault="00027020">
      <w:pPr>
        <w:contextualSpacing w:val="0"/>
      </w:pPr>
      <w:r w:rsidRPr="009364E7">
        <w:t xml:space="preserve">Look at the postcodes. </w:t>
      </w:r>
    </w:p>
    <w:p w14:paraId="54FFC5E4" w14:textId="479C38D2" w:rsidR="004E312B" w:rsidRPr="009364E7" w:rsidRDefault="00027020" w:rsidP="00D96773">
      <w:pPr>
        <w:spacing w:after="120"/>
        <w:contextualSpacing w:val="0"/>
      </w:pPr>
      <w:r w:rsidRPr="009364E7">
        <w:t>In most spreadsheets this data will show postcodes</w:t>
      </w:r>
      <w:r w:rsidR="0047390E" w:rsidRPr="009364E7">
        <w:t xml:space="preserve"> with one, three and four digits</w:t>
      </w:r>
      <w:r w:rsidRPr="009364E7">
        <w:t xml:space="preserve">, </w:t>
      </w:r>
      <w:r w:rsidR="00DC2269" w:rsidRPr="009364E7">
        <w:t xml:space="preserve">although </w:t>
      </w:r>
      <w:r w:rsidRPr="009364E7">
        <w:t xml:space="preserve">postcodes in Australia all </w:t>
      </w:r>
      <w:r w:rsidR="0047390E" w:rsidRPr="009364E7">
        <w:t>have four</w:t>
      </w:r>
      <w:r w:rsidRPr="009364E7">
        <w:t xml:space="preserve"> digits. What has happened to these postcodes?</w:t>
      </w:r>
    </w:p>
    <w:tbl>
      <w:tblPr>
        <w:tblStyle w:val="TableGrid"/>
        <w:tblW w:w="0" w:type="auto"/>
        <w:tblLook w:val="04A0" w:firstRow="1" w:lastRow="0" w:firstColumn="1" w:lastColumn="0" w:noHBand="0" w:noVBand="1"/>
      </w:tblPr>
      <w:tblGrid>
        <w:gridCol w:w="9350"/>
      </w:tblGrid>
      <w:tr w:rsidR="001D1844" w:rsidRPr="009364E7" w14:paraId="0BBF8EC0" w14:textId="77777777" w:rsidTr="003D6DE4">
        <w:tc>
          <w:tcPr>
            <w:tcW w:w="9350" w:type="dxa"/>
            <w:shd w:val="clear" w:color="auto" w:fill="E5DFEC" w:themeFill="accent4" w:themeFillTint="33"/>
          </w:tcPr>
          <w:p w14:paraId="1C1496A6" w14:textId="62F900F2" w:rsidR="008C2952" w:rsidRPr="009364E7" w:rsidRDefault="001D1844" w:rsidP="008C2952">
            <w:pPr>
              <w:spacing w:before="60" w:after="60"/>
              <w:ind w:left="57" w:right="57"/>
              <w:contextualSpacing w:val="0"/>
            </w:pPr>
            <w:r w:rsidRPr="009364E7">
              <w:t xml:space="preserve">This is an example of a spreadsheet being programmed to modify the data (hiding things the programmer believes the user does not need to know about – in this case, leading 0s). Mathematically speaking, there’s no difference between 0, 00, 000, and 0000. They all just mean 0. So spreadsheets (and other software) tend to remove the leading 0s, which means postcode 0 is actually 0000, 200 is actually 0200 </w:t>
            </w:r>
            <w:r w:rsidR="00DC2269" w:rsidRPr="009364E7">
              <w:t>and so on</w:t>
            </w:r>
            <w:r w:rsidRPr="009364E7">
              <w:t>.</w:t>
            </w:r>
          </w:p>
          <w:p w14:paraId="16EFE20B" w14:textId="1C9A8C4D" w:rsidR="001D1844" w:rsidRPr="009364E7" w:rsidRDefault="001D1844" w:rsidP="00DC2269">
            <w:pPr>
              <w:spacing w:before="60" w:after="60"/>
              <w:ind w:left="57" w:right="57"/>
              <w:contextualSpacing w:val="0"/>
            </w:pPr>
            <w:r w:rsidRPr="009364E7">
              <w:t xml:space="preserve">This is an important part of data cleaning. Sometimes you have to convert the data back to its original form to fix errors that spreadsheets and other software introduce in an attempt to be </w:t>
            </w:r>
            <w:r w:rsidR="00DC2269" w:rsidRPr="009364E7">
              <w:t>‘</w:t>
            </w:r>
            <w:r w:rsidRPr="009364E7">
              <w:t>helpful</w:t>
            </w:r>
            <w:r w:rsidR="00DC2269" w:rsidRPr="009364E7">
              <w:t>’</w:t>
            </w:r>
            <w:r w:rsidRPr="009364E7">
              <w:t>.</w:t>
            </w:r>
            <w:r w:rsidR="009542B5" w:rsidRPr="009364E7">
              <w:t xml:space="preserve"> Format cells and select ‘custom’ from the drop</w:t>
            </w:r>
            <w:r w:rsidR="00DC2269" w:rsidRPr="009364E7">
              <w:t>-</w:t>
            </w:r>
            <w:r w:rsidR="009542B5" w:rsidRPr="009364E7">
              <w:t>down menu and type in 0000</w:t>
            </w:r>
            <w:r w:rsidR="0015488E" w:rsidRPr="009364E7">
              <w:t xml:space="preserve"> to allow for a 4</w:t>
            </w:r>
            <w:r w:rsidR="00DC2269" w:rsidRPr="009364E7">
              <w:t>-</w:t>
            </w:r>
            <w:r w:rsidR="0015488E" w:rsidRPr="009364E7">
              <w:t xml:space="preserve">digit postcode. </w:t>
            </w:r>
          </w:p>
        </w:tc>
      </w:tr>
    </w:tbl>
    <w:p w14:paraId="2C5E0EC6" w14:textId="30152D62" w:rsidR="004E312B" w:rsidRPr="009364E7" w:rsidRDefault="00027020" w:rsidP="00656687">
      <w:pPr>
        <w:pStyle w:val="Heading3"/>
      </w:pPr>
      <w:r w:rsidRPr="009364E7">
        <w:t xml:space="preserve">Step </w:t>
      </w:r>
      <w:r w:rsidR="002F0D3B" w:rsidRPr="009364E7">
        <w:t>2</w:t>
      </w:r>
      <w:r w:rsidRPr="009364E7">
        <w:t>: Is this dataset useful?</w:t>
      </w:r>
    </w:p>
    <w:p w14:paraId="2F697DCC" w14:textId="77777777" w:rsidR="004E312B" w:rsidRPr="009364E7" w:rsidRDefault="00027020" w:rsidP="00D96773">
      <w:pPr>
        <w:spacing w:after="120"/>
        <w:contextualSpacing w:val="0"/>
      </w:pPr>
      <w:r w:rsidRPr="009364E7">
        <w:t>Now let’s look at the first two columns</w:t>
      </w:r>
      <w:r w:rsidR="00315C87" w:rsidRPr="009364E7">
        <w:t xml:space="preserve"> in the dataset</w:t>
      </w:r>
      <w:r w:rsidRPr="009364E7">
        <w:t xml:space="preserve">. The first is historical installations from 2001 to 2016. </w:t>
      </w:r>
      <w:r w:rsidR="00242A89" w:rsidRPr="009364E7">
        <w:t>The dataset doesn’t</w:t>
      </w:r>
      <w:r w:rsidRPr="009364E7">
        <w:t xml:space="preserve"> seem to have any data </w:t>
      </w:r>
      <w:r w:rsidR="00242A89" w:rsidRPr="009364E7">
        <w:t xml:space="preserve">for installations prior to </w:t>
      </w:r>
      <w:r w:rsidRPr="009364E7">
        <w:t xml:space="preserve">2001, but that’s not because </w:t>
      </w:r>
      <w:r w:rsidR="00242A89" w:rsidRPr="009364E7">
        <w:t>there were no installations</w:t>
      </w:r>
      <w:r w:rsidRPr="009364E7">
        <w:t xml:space="preserve">. </w:t>
      </w:r>
      <w:r w:rsidR="00242A89" w:rsidRPr="009364E7">
        <w:t xml:space="preserve">What might be the reason? </w:t>
      </w:r>
    </w:p>
    <w:tbl>
      <w:tblPr>
        <w:tblStyle w:val="TableGrid"/>
        <w:tblW w:w="0" w:type="auto"/>
        <w:tblLook w:val="04A0" w:firstRow="1" w:lastRow="0" w:firstColumn="1" w:lastColumn="0" w:noHBand="0" w:noVBand="1"/>
      </w:tblPr>
      <w:tblGrid>
        <w:gridCol w:w="9350"/>
      </w:tblGrid>
      <w:tr w:rsidR="00242A89" w:rsidRPr="009364E7" w14:paraId="4AB5D749" w14:textId="77777777" w:rsidTr="00242A89">
        <w:tc>
          <w:tcPr>
            <w:tcW w:w="9350" w:type="dxa"/>
            <w:shd w:val="clear" w:color="auto" w:fill="E5DFEC" w:themeFill="accent4" w:themeFillTint="33"/>
          </w:tcPr>
          <w:p w14:paraId="7D0BD9F7" w14:textId="77777777" w:rsidR="00242A89" w:rsidRPr="009364E7" w:rsidRDefault="00242A89" w:rsidP="00315C87">
            <w:pPr>
              <w:spacing w:before="60" w:after="60"/>
              <w:ind w:left="57" w:right="57"/>
              <w:contextualSpacing w:val="0"/>
            </w:pPr>
            <w:r w:rsidRPr="009364E7">
              <w:t>It turns out it’s because</w:t>
            </w:r>
            <w:r w:rsidR="00315C87" w:rsidRPr="009364E7">
              <w:t xml:space="preserve"> 2001 was</w:t>
            </w:r>
            <w:r w:rsidRPr="009364E7">
              <w:t xml:space="preserve"> when the Government introduced the mandatory renewable energy target and began tracking renewable energy.</w:t>
            </w:r>
          </w:p>
        </w:tc>
      </w:tr>
    </w:tbl>
    <w:p w14:paraId="4B0B19CD" w14:textId="77777777" w:rsidR="00315C87" w:rsidRPr="009364E7" w:rsidRDefault="00315C87" w:rsidP="00D96773">
      <w:pPr>
        <w:spacing w:before="120" w:after="120"/>
        <w:contextualSpacing w:val="0"/>
      </w:pPr>
      <w:r w:rsidRPr="009364E7">
        <w:t>Students may ask, ‘</w:t>
      </w:r>
      <w:r w:rsidR="00027020" w:rsidRPr="009364E7">
        <w:t xml:space="preserve">How </w:t>
      </w:r>
      <w:r w:rsidRPr="009364E7">
        <w:t>many</w:t>
      </w:r>
      <w:r w:rsidR="00027020" w:rsidRPr="009364E7">
        <w:t xml:space="preserve"> solar </w:t>
      </w:r>
      <w:r w:rsidRPr="009364E7">
        <w:t xml:space="preserve">panels are </w:t>
      </w:r>
      <w:r w:rsidR="00027020" w:rsidRPr="009364E7">
        <w:t xml:space="preserve">actually operating </w:t>
      </w:r>
      <w:r w:rsidRPr="009364E7">
        <w:t>currently</w:t>
      </w:r>
      <w:r w:rsidR="00027020" w:rsidRPr="009364E7">
        <w:t>?</w:t>
      </w:r>
      <w:r w:rsidR="00DC2269" w:rsidRPr="009364E7">
        <w:t>’</w:t>
      </w:r>
      <w:r w:rsidR="00027020" w:rsidRPr="009364E7">
        <w:t xml:space="preserve"> </w:t>
      </w:r>
    </w:p>
    <w:tbl>
      <w:tblPr>
        <w:tblStyle w:val="TableGrid"/>
        <w:tblW w:w="0" w:type="auto"/>
        <w:tblLook w:val="04A0" w:firstRow="1" w:lastRow="0" w:firstColumn="1" w:lastColumn="0" w:noHBand="0" w:noVBand="1"/>
      </w:tblPr>
      <w:tblGrid>
        <w:gridCol w:w="9350"/>
      </w:tblGrid>
      <w:tr w:rsidR="00315C87" w:rsidRPr="009364E7" w14:paraId="5F089DDC" w14:textId="77777777" w:rsidTr="003D6DE4">
        <w:tc>
          <w:tcPr>
            <w:tcW w:w="9350" w:type="dxa"/>
            <w:shd w:val="clear" w:color="auto" w:fill="E5DFEC" w:themeFill="accent4" w:themeFillTint="33"/>
          </w:tcPr>
          <w:p w14:paraId="37EC60E8" w14:textId="02A533EA" w:rsidR="00315C87" w:rsidRPr="009364E7" w:rsidRDefault="00315C87" w:rsidP="00315C87">
            <w:pPr>
              <w:spacing w:before="60" w:after="60"/>
              <w:ind w:left="57" w:right="57"/>
              <w:contextualSpacing w:val="0"/>
            </w:pPr>
            <w:r w:rsidRPr="009364E7">
              <w:t>We can’t exactly tell that from this dataset. This data tracks installations. It doesn’t track people getting rid of their solar panels, or the panels ceasing to work. Installations are a reasonable</w:t>
            </w:r>
            <w:r w:rsidR="004B49A8" w:rsidRPr="009364E7">
              <w:t>, but not perfect,</w:t>
            </w:r>
            <w:r w:rsidRPr="009364E7">
              <w:t xml:space="preserve"> measure of how much solar we have.</w:t>
            </w:r>
          </w:p>
          <w:p w14:paraId="14A02719" w14:textId="77777777" w:rsidR="00315C87" w:rsidRPr="009364E7" w:rsidRDefault="00315C87" w:rsidP="00315C87">
            <w:pPr>
              <w:spacing w:before="60" w:after="60"/>
              <w:ind w:left="57" w:right="57"/>
              <w:contextualSpacing w:val="0"/>
            </w:pPr>
            <w:r w:rsidRPr="009364E7">
              <w:t>This question can springboard a useful conversation about the data we want, versus the data we have, and how many data studies work with flawed or missing data, simply because it’s all that is available.</w:t>
            </w:r>
          </w:p>
        </w:tc>
      </w:tr>
    </w:tbl>
    <w:p w14:paraId="6527F502" w14:textId="77777777" w:rsidR="004E312B" w:rsidRPr="009364E7" w:rsidRDefault="00027020" w:rsidP="00D96773">
      <w:pPr>
        <w:spacing w:before="120"/>
        <w:contextualSpacing w:val="0"/>
      </w:pPr>
      <w:r w:rsidRPr="009364E7">
        <w:rPr>
          <w:b/>
        </w:rPr>
        <w:t xml:space="preserve">Class discussion: </w:t>
      </w:r>
      <w:r w:rsidRPr="009364E7">
        <w:t>How might we find out how much solar is actually operating right now in Australia? What organisations might have that information?</w:t>
      </w:r>
    </w:p>
    <w:p w14:paraId="1E29052C" w14:textId="5A118F4E" w:rsidR="004E312B" w:rsidRPr="009364E7" w:rsidRDefault="00027020" w:rsidP="009364E7">
      <w:pPr>
        <w:pStyle w:val="Heading3"/>
      </w:pPr>
      <w:r w:rsidRPr="009364E7">
        <w:t xml:space="preserve">Step </w:t>
      </w:r>
      <w:r w:rsidR="002F0D3B" w:rsidRPr="009364E7">
        <w:t>3</w:t>
      </w:r>
      <w:r w:rsidRPr="009364E7">
        <w:t>: Sorting the data</w:t>
      </w:r>
    </w:p>
    <w:p w14:paraId="26B8284D" w14:textId="77777777" w:rsidR="004E312B" w:rsidRPr="009364E7" w:rsidRDefault="00027020" w:rsidP="001D1844">
      <w:pPr>
        <w:contextualSpacing w:val="0"/>
      </w:pPr>
      <w:r w:rsidRPr="009364E7">
        <w:t>Look at the first column</w:t>
      </w:r>
      <w:r w:rsidR="00315C87" w:rsidRPr="009364E7">
        <w:t xml:space="preserve"> in the dataset</w:t>
      </w:r>
      <w:r w:rsidRPr="009364E7">
        <w:t>. Having it sorted by postcode is logical, but not terribly interesting. Let’s look at the top 20 postcodes – to do that, we can sort the entire table by the second column (how many installations happened between 2001 and 2016), in descending order. In other words, put the largest values up the top.</w:t>
      </w:r>
    </w:p>
    <w:p w14:paraId="343D8E86" w14:textId="77777777" w:rsidR="003210A4" w:rsidRPr="009364E7" w:rsidRDefault="003210A4">
      <w:pPr>
        <w:contextualSpacing w:val="0"/>
        <w:rPr>
          <w:noProof/>
          <w:lang w:val="en-AU" w:eastAsia="en-AU"/>
        </w:rPr>
      </w:pPr>
    </w:p>
    <w:p w14:paraId="34F8C6C4" w14:textId="4DF2B103" w:rsidR="003210A4" w:rsidRPr="009364E7" w:rsidRDefault="003210A4" w:rsidP="003210A4">
      <w:pPr>
        <w:pStyle w:val="Heading4"/>
        <w:rPr>
          <w:noProof/>
          <w:lang w:val="en-AU" w:eastAsia="en-AU"/>
        </w:rPr>
      </w:pPr>
      <w:r w:rsidRPr="009364E7">
        <w:t>Solar Installations sorted by Previous Years column, largest to smallest</w:t>
      </w:r>
    </w:p>
    <w:p w14:paraId="42E55E3F" w14:textId="19EA6A13" w:rsidR="004E312B" w:rsidRPr="009364E7" w:rsidRDefault="00027020">
      <w:pPr>
        <w:contextualSpacing w:val="0"/>
      </w:pPr>
      <w:r w:rsidRPr="009364E7">
        <w:rPr>
          <w:noProof/>
          <w:lang w:val="en-US"/>
        </w:rPr>
        <w:drawing>
          <wp:inline distT="114300" distB="114300" distL="114300" distR="114300" wp14:anchorId="6B0E824D" wp14:editId="26A9C0F4">
            <wp:extent cx="5943600" cy="3365500"/>
            <wp:effectExtent l="0" t="0" r="0" b="0"/>
            <wp:docPr id="3" name="image1.png" descr="Screen Shot 2018-05-06 at 3.34.48 pm"/>
            <wp:cNvGraphicFramePr/>
            <a:graphic xmlns:a="http://schemas.openxmlformats.org/drawingml/2006/main">
              <a:graphicData uri="http://schemas.openxmlformats.org/drawingml/2006/picture">
                <pic:pic xmlns:pic="http://schemas.openxmlformats.org/drawingml/2006/picture">
                  <pic:nvPicPr>
                    <pic:cNvPr id="0" name="image1.png" descr="Screen Shot 2018-05-06 at 3.34.48 pm"/>
                    <pic:cNvPicPr preferRelativeResize="0"/>
                  </pic:nvPicPr>
                  <pic:blipFill>
                    <a:blip r:embed="rId15"/>
                    <a:srcRect/>
                    <a:stretch>
                      <a:fillRect/>
                    </a:stretch>
                  </pic:blipFill>
                  <pic:spPr>
                    <a:xfrm>
                      <a:off x="0" y="0"/>
                      <a:ext cx="5943600" cy="3365500"/>
                    </a:xfrm>
                    <a:prstGeom prst="rect">
                      <a:avLst/>
                    </a:prstGeom>
                    <a:ln/>
                  </pic:spPr>
                </pic:pic>
              </a:graphicData>
            </a:graphic>
          </wp:inline>
        </w:drawing>
      </w:r>
    </w:p>
    <w:p w14:paraId="745D79F1" w14:textId="2B8E72F8" w:rsidR="004E312B" w:rsidRPr="009364E7" w:rsidRDefault="004E312B" w:rsidP="009364E7">
      <w:pPr>
        <w:tabs>
          <w:tab w:val="left" w:pos="284"/>
          <w:tab w:val="left" w:pos="1560"/>
        </w:tabs>
        <w:spacing w:after="120"/>
        <w:contextualSpacing w:val="0"/>
        <w:rPr>
          <w:sz w:val="20"/>
          <w:szCs w:val="20"/>
        </w:rPr>
      </w:pPr>
    </w:p>
    <w:tbl>
      <w:tblPr>
        <w:tblStyle w:val="TableGrid"/>
        <w:tblW w:w="0" w:type="auto"/>
        <w:tblLook w:val="04A0" w:firstRow="1" w:lastRow="0" w:firstColumn="1" w:lastColumn="0" w:noHBand="0" w:noVBand="1"/>
      </w:tblPr>
      <w:tblGrid>
        <w:gridCol w:w="9350"/>
      </w:tblGrid>
      <w:tr w:rsidR="0060240F" w:rsidRPr="009364E7" w14:paraId="704610A9" w14:textId="77777777" w:rsidTr="003D6DE4">
        <w:tc>
          <w:tcPr>
            <w:tcW w:w="9350" w:type="dxa"/>
            <w:shd w:val="clear" w:color="auto" w:fill="E5DFEC" w:themeFill="accent4" w:themeFillTint="33"/>
          </w:tcPr>
          <w:p w14:paraId="117B449C" w14:textId="77777777" w:rsidR="0060240F" w:rsidRPr="009364E7" w:rsidRDefault="0060240F" w:rsidP="0060240F">
            <w:pPr>
              <w:spacing w:before="60" w:after="60"/>
              <w:ind w:left="57" w:right="57"/>
              <w:contextualSpacing w:val="0"/>
            </w:pPr>
            <w:r w:rsidRPr="009364E7">
              <w:t xml:space="preserve">A quick glance shows us that the majority of the top 20 postcodes start with a 4, indicating they’re in Queensland. (To check postcodes refer to a </w:t>
            </w:r>
            <w:hyperlink r:id="rId16">
              <w:r w:rsidRPr="009364E7">
                <w:rPr>
                  <w:rStyle w:val="Hyperlink"/>
                </w:rPr>
                <w:t>postcode site</w:t>
              </w:r>
            </w:hyperlink>
            <w:r w:rsidRPr="009364E7">
              <w:t xml:space="preserve">.) </w:t>
            </w:r>
          </w:p>
          <w:p w14:paraId="4103D556" w14:textId="3BE5008D" w:rsidR="0060240F" w:rsidRPr="009364E7" w:rsidRDefault="0060240F" w:rsidP="0060240F">
            <w:pPr>
              <w:spacing w:before="60" w:after="60"/>
              <w:ind w:left="57" w:right="57"/>
              <w:contextualSpacing w:val="0"/>
            </w:pPr>
            <w:r w:rsidRPr="009364E7">
              <w:t>The top postcode, 4670</w:t>
            </w:r>
            <w:r w:rsidR="004B49A8" w:rsidRPr="009364E7">
              <w:t>,</w:t>
            </w:r>
            <w:r w:rsidRPr="009364E7">
              <w:t xml:space="preserve"> covers 53 regions, including Bundaberg. There’s a surprisingly large gap between the top postcodes and the bottom of the top </w:t>
            </w:r>
            <w:r w:rsidR="004B49A8" w:rsidRPr="009364E7">
              <w:t>20</w:t>
            </w:r>
            <w:r w:rsidRPr="009364E7">
              <w:t xml:space="preserve">, which is interesting. Most of the postcodes in this list that aren’t in Queensland are in Western Australia, except for 3029, which is </w:t>
            </w:r>
            <w:r w:rsidR="004B49A8" w:rsidRPr="009364E7">
              <w:t>w</w:t>
            </w:r>
            <w:r w:rsidRPr="009364E7">
              <w:t xml:space="preserve">est of Melbourne, around Hoppers Crossing, and 3977, which is </w:t>
            </w:r>
            <w:r w:rsidR="004B49A8" w:rsidRPr="009364E7">
              <w:t>s</w:t>
            </w:r>
            <w:r w:rsidRPr="009364E7">
              <w:t>outh</w:t>
            </w:r>
            <w:r w:rsidR="004B49A8" w:rsidRPr="009364E7">
              <w:t>-e</w:t>
            </w:r>
            <w:r w:rsidRPr="009364E7">
              <w:t>ast of Melbourne, in the Cranbourne area.</w:t>
            </w:r>
          </w:p>
          <w:p w14:paraId="4B1C14B7" w14:textId="5B52F285" w:rsidR="0060240F" w:rsidRPr="009364E7" w:rsidRDefault="0060240F" w:rsidP="0060240F">
            <w:pPr>
              <w:contextualSpacing w:val="0"/>
            </w:pPr>
            <w:r w:rsidRPr="009364E7">
              <w:t xml:space="preserve">There’s a rich conversation to be had around why these suburbs have so much more solar than other places in Victoria. Toorak, for example, a </w:t>
            </w:r>
            <w:r w:rsidR="00C80C4E" w:rsidRPr="009364E7">
              <w:t xml:space="preserve">famously </w:t>
            </w:r>
            <w:r w:rsidRPr="009364E7">
              <w:t xml:space="preserve">wealthy suburb, comes in at 1701 on the list. Areas with a lot of new housing are more likely to have solar, as it gets put in when the house is built as a way to increase the energy rating of the house. </w:t>
            </w:r>
          </w:p>
          <w:p w14:paraId="1366F808" w14:textId="77777777" w:rsidR="0060240F" w:rsidRPr="009364E7" w:rsidRDefault="0060240F" w:rsidP="00D96773">
            <w:pPr>
              <w:spacing w:before="60"/>
              <w:contextualSpacing w:val="0"/>
            </w:pPr>
            <w:r w:rsidRPr="009364E7">
              <w:t>This is a topic worth exploring! You don’t have to know all the answers, as it’s an opportunity for the students to research and explore, and come up with their own theories for why it might be the case.</w:t>
            </w:r>
          </w:p>
        </w:tc>
      </w:tr>
    </w:tbl>
    <w:p w14:paraId="365444D3" w14:textId="68C5ECFF" w:rsidR="003210A4" w:rsidRPr="009364E7" w:rsidRDefault="003210A4"/>
    <w:p w14:paraId="30C23C21" w14:textId="0B6C3F1A" w:rsidR="003210A4" w:rsidRPr="009364E7" w:rsidRDefault="003210A4" w:rsidP="0073576F">
      <w:pPr>
        <w:pStyle w:val="Heading4"/>
        <w:rPr>
          <w:noProof/>
          <w:lang w:val="en-AU" w:eastAsia="en-AU"/>
        </w:rPr>
      </w:pPr>
      <w:r w:rsidRPr="009364E7">
        <w:t>Data visualised in Google MyMaps: 20 postcodes with highest number of installations</w:t>
      </w:r>
    </w:p>
    <w:p w14:paraId="156D0ED3" w14:textId="188EAD82" w:rsidR="003210A4" w:rsidRPr="009364E7" w:rsidRDefault="003210A4" w:rsidP="00CE6BEB">
      <w:pPr>
        <w:contextualSpacing w:val="0"/>
        <w:rPr>
          <w:sz w:val="20"/>
          <w:szCs w:val="20"/>
        </w:rPr>
      </w:pPr>
      <w:r w:rsidRPr="009364E7">
        <w:rPr>
          <w:noProof/>
          <w:lang w:val="en-US"/>
        </w:rPr>
        <w:drawing>
          <wp:inline distT="0" distB="0" distL="0" distR="0" wp14:anchorId="446CA07C" wp14:editId="6E3CBCCC">
            <wp:extent cx="5943600" cy="35814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943600" cy="3581400"/>
                    </a:xfrm>
                    <a:prstGeom prst="rect">
                      <a:avLst/>
                    </a:prstGeom>
                  </pic:spPr>
                </pic:pic>
              </a:graphicData>
            </a:graphic>
          </wp:inline>
        </w:drawing>
      </w:r>
    </w:p>
    <w:p w14:paraId="713A91CE" w14:textId="77777777" w:rsidR="003210A4" w:rsidRPr="009364E7" w:rsidRDefault="003210A4" w:rsidP="00CE6BEB">
      <w:pPr>
        <w:contextualSpacing w:val="0"/>
        <w:rPr>
          <w:sz w:val="20"/>
          <w:szCs w:val="20"/>
        </w:rPr>
      </w:pPr>
    </w:p>
    <w:p w14:paraId="05AA930E" w14:textId="6A24C6B0" w:rsidR="004E312B" w:rsidRPr="009364E7" w:rsidRDefault="00027020" w:rsidP="009364E7">
      <w:pPr>
        <w:pStyle w:val="Heading3"/>
      </w:pPr>
      <w:r w:rsidRPr="009364E7">
        <w:t xml:space="preserve">Step </w:t>
      </w:r>
      <w:r w:rsidR="002F0D3B" w:rsidRPr="009364E7">
        <w:t>4</w:t>
      </w:r>
      <w:r w:rsidRPr="009364E7">
        <w:t xml:space="preserve">: Data analysis </w:t>
      </w:r>
    </w:p>
    <w:p w14:paraId="7BD82805" w14:textId="40B8B3E8" w:rsidR="004E312B" w:rsidRPr="009364E7" w:rsidRDefault="00027020">
      <w:pPr>
        <w:contextualSpacing w:val="0"/>
      </w:pPr>
      <w:r w:rsidRPr="009364E7">
        <w:t xml:space="preserve">Let’s look at column 4: solar </w:t>
      </w:r>
      <w:r w:rsidR="004B49A8" w:rsidRPr="009364E7">
        <w:t xml:space="preserve">installations in January 2017. </w:t>
      </w:r>
      <w:r w:rsidRPr="009364E7">
        <w:t>How different are the top 20 if you sort the whole table by this column?</w:t>
      </w:r>
    </w:p>
    <w:p w14:paraId="7C00582E" w14:textId="77777777" w:rsidR="0073576F" w:rsidRPr="009364E7" w:rsidRDefault="0073576F">
      <w:r w:rsidRPr="009364E7">
        <w:br w:type="page"/>
      </w:r>
    </w:p>
    <w:p w14:paraId="08DA9324" w14:textId="252BBEA9" w:rsidR="0073576F" w:rsidRPr="009364E7" w:rsidRDefault="0073576F" w:rsidP="0073576F">
      <w:pPr>
        <w:pStyle w:val="Heading4"/>
      </w:pPr>
      <w:r w:rsidRPr="009364E7">
        <w:t>Solar Installations sorted by January Installations</w:t>
      </w:r>
    </w:p>
    <w:p w14:paraId="2E8440E7" w14:textId="4FF7FEF2" w:rsidR="004E312B" w:rsidRPr="009364E7" w:rsidRDefault="00027020">
      <w:pPr>
        <w:contextualSpacing w:val="0"/>
      </w:pPr>
      <w:r w:rsidRPr="009364E7">
        <w:rPr>
          <w:noProof/>
          <w:lang w:val="en-US"/>
        </w:rPr>
        <w:drawing>
          <wp:inline distT="114300" distB="114300" distL="114300" distR="114300" wp14:anchorId="7806BFC2" wp14:editId="35F76592">
            <wp:extent cx="5943600" cy="4953000"/>
            <wp:effectExtent l="0" t="0" r="0" b="0"/>
            <wp:docPr id="2" name="image3.png" descr="Screen Shot 2018-05-06 at 3.44.32 pm"/>
            <wp:cNvGraphicFramePr/>
            <a:graphic xmlns:a="http://schemas.openxmlformats.org/drawingml/2006/main">
              <a:graphicData uri="http://schemas.openxmlformats.org/drawingml/2006/picture">
                <pic:pic xmlns:pic="http://schemas.openxmlformats.org/drawingml/2006/picture">
                  <pic:nvPicPr>
                    <pic:cNvPr id="0" name="image3.png" descr="Screen Shot 2018-05-06 at 3.44.32 pm"/>
                    <pic:cNvPicPr preferRelativeResize="0"/>
                  </pic:nvPicPr>
                  <pic:blipFill>
                    <a:blip r:embed="rId18"/>
                    <a:srcRect/>
                    <a:stretch>
                      <a:fillRect/>
                    </a:stretch>
                  </pic:blipFill>
                  <pic:spPr>
                    <a:xfrm>
                      <a:off x="0" y="0"/>
                      <a:ext cx="5943600" cy="4953000"/>
                    </a:xfrm>
                    <a:prstGeom prst="rect">
                      <a:avLst/>
                    </a:prstGeom>
                    <a:ln/>
                  </pic:spPr>
                </pic:pic>
              </a:graphicData>
            </a:graphic>
          </wp:inline>
        </w:drawing>
      </w:r>
    </w:p>
    <w:p w14:paraId="22BAA5C7" w14:textId="16D27183" w:rsidR="004E312B" w:rsidRPr="009364E7" w:rsidRDefault="004E312B" w:rsidP="009364E7">
      <w:pPr>
        <w:spacing w:after="120"/>
        <w:contextualSpacing w:val="0"/>
        <w:rPr>
          <w:sz w:val="20"/>
          <w:szCs w:val="20"/>
        </w:rPr>
      </w:pPr>
    </w:p>
    <w:tbl>
      <w:tblPr>
        <w:tblStyle w:val="TableGrid"/>
        <w:tblW w:w="0" w:type="auto"/>
        <w:tblLook w:val="04A0" w:firstRow="1" w:lastRow="0" w:firstColumn="1" w:lastColumn="0" w:noHBand="0" w:noVBand="1"/>
      </w:tblPr>
      <w:tblGrid>
        <w:gridCol w:w="9350"/>
      </w:tblGrid>
      <w:tr w:rsidR="0060240F" w:rsidRPr="009364E7" w14:paraId="59711BD2" w14:textId="77777777" w:rsidTr="003D6DE4">
        <w:tc>
          <w:tcPr>
            <w:tcW w:w="9350" w:type="dxa"/>
            <w:shd w:val="clear" w:color="auto" w:fill="E5DFEC" w:themeFill="accent4" w:themeFillTint="33"/>
          </w:tcPr>
          <w:p w14:paraId="58BD31CD" w14:textId="77777777" w:rsidR="0060240F" w:rsidRPr="009364E7" w:rsidRDefault="0060240F" w:rsidP="0060240F">
            <w:pPr>
              <w:spacing w:before="60" w:after="60"/>
              <w:ind w:left="57" w:right="57"/>
              <w:contextualSpacing w:val="0"/>
            </w:pPr>
            <w:r w:rsidRPr="009364E7">
              <w:t>Now WA scores better, and the rest is still largely over to Queensland, except for one Victorian postcode (Cranbourne area again), and this time one NSW representative.</w:t>
            </w:r>
          </w:p>
          <w:p w14:paraId="6D2C5977" w14:textId="2924EBCD" w:rsidR="0060240F" w:rsidRPr="009364E7" w:rsidRDefault="0060240F" w:rsidP="0060240F">
            <w:pPr>
              <w:spacing w:before="60" w:after="60"/>
              <w:ind w:left="57" w:right="57"/>
              <w:contextualSpacing w:val="0"/>
            </w:pPr>
            <w:r w:rsidRPr="009364E7">
              <w:t>Why do WA and Queensland do so well on both historic and recent measures? This is an opportunity to explore the politics and have your students find out what incentives there are to install solar in those states. Could it be due to solar feed</w:t>
            </w:r>
            <w:r w:rsidR="004B49A8" w:rsidRPr="009364E7">
              <w:t>-</w:t>
            </w:r>
            <w:r w:rsidRPr="009364E7">
              <w:t>in tariffs, government incentives, or home energy rating requirements?</w:t>
            </w:r>
          </w:p>
        </w:tc>
      </w:tr>
    </w:tbl>
    <w:p w14:paraId="28E5B03B" w14:textId="61BC883F" w:rsidR="004E312B" w:rsidRPr="009364E7" w:rsidRDefault="00027020" w:rsidP="009364E7">
      <w:pPr>
        <w:pStyle w:val="Heading3"/>
      </w:pPr>
      <w:r w:rsidRPr="009364E7">
        <w:t xml:space="preserve">Step </w:t>
      </w:r>
      <w:r w:rsidR="002F0D3B" w:rsidRPr="009364E7">
        <w:t>5</w:t>
      </w:r>
      <w:r w:rsidRPr="009364E7">
        <w:t>: Data calculations</w:t>
      </w:r>
    </w:p>
    <w:p w14:paraId="0EA68F71" w14:textId="77777777" w:rsidR="004E312B" w:rsidRPr="009364E7" w:rsidRDefault="00027020" w:rsidP="00D96773">
      <w:pPr>
        <w:spacing w:after="120"/>
        <w:contextualSpacing w:val="0"/>
      </w:pPr>
      <w:r w:rsidRPr="009364E7">
        <w:t>Calculate the average solar installations per postcode per state. You can do this by sorting the data by postcode, and manually copying and pasting each state into a separate sheet, or you can write a Python script to sort the data into a separate file for each state using the first digit of the postcode.</w:t>
      </w:r>
    </w:p>
    <w:tbl>
      <w:tblPr>
        <w:tblStyle w:val="TableGrid"/>
        <w:tblW w:w="0" w:type="auto"/>
        <w:tblLook w:val="04A0" w:firstRow="1" w:lastRow="0" w:firstColumn="1" w:lastColumn="0" w:noHBand="0" w:noVBand="1"/>
      </w:tblPr>
      <w:tblGrid>
        <w:gridCol w:w="9350"/>
      </w:tblGrid>
      <w:tr w:rsidR="0060240F" w:rsidRPr="009364E7" w14:paraId="19C46F0C" w14:textId="77777777" w:rsidTr="003D6DE4">
        <w:tc>
          <w:tcPr>
            <w:tcW w:w="9350" w:type="dxa"/>
            <w:shd w:val="clear" w:color="auto" w:fill="E5DFEC" w:themeFill="accent4" w:themeFillTint="33"/>
          </w:tcPr>
          <w:p w14:paraId="712C81B5" w14:textId="50E4577B" w:rsidR="0060240F" w:rsidRPr="009364E7" w:rsidRDefault="0060240F" w:rsidP="0060240F">
            <w:pPr>
              <w:spacing w:before="60" w:after="60"/>
              <w:ind w:left="57" w:right="57"/>
              <w:contextualSpacing w:val="0"/>
            </w:pPr>
            <w:r w:rsidRPr="009364E7">
              <w:t xml:space="preserve">The media misreported this data by using a naive analysis technique </w:t>
            </w:r>
            <w:r w:rsidR="004B49A8" w:rsidRPr="009364E7">
              <w:t xml:space="preserve">– </w:t>
            </w:r>
            <w:r w:rsidRPr="009364E7">
              <w:t>just sorting the data. It is an easy mistake to make. Despite WA and Queensland dominating the top 20 postcodes list, when you calculate the average for each state, you get a quite different picture.</w:t>
            </w:r>
          </w:p>
          <w:p w14:paraId="60907726" w14:textId="002FAABA" w:rsidR="00572EED" w:rsidRPr="009364E7" w:rsidRDefault="0060240F" w:rsidP="0060240F">
            <w:pPr>
              <w:spacing w:before="60" w:after="60"/>
              <w:ind w:left="57" w:right="57"/>
              <w:contextualSpacing w:val="0"/>
            </w:pPr>
            <w:r w:rsidRPr="009364E7">
              <w:t>For examples of the media ‘analysis’</w:t>
            </w:r>
            <w:r w:rsidR="00D96773" w:rsidRPr="009364E7">
              <w:t xml:space="preserve"> go to</w:t>
            </w:r>
            <w:r w:rsidRPr="009364E7">
              <w:t xml:space="preserve">: </w:t>
            </w:r>
          </w:p>
          <w:p w14:paraId="2137E332" w14:textId="1E3DB47D" w:rsidR="0060240F" w:rsidRPr="009364E7" w:rsidRDefault="005D4F1A" w:rsidP="009364E7">
            <w:pPr>
              <w:pStyle w:val="ListParagraph"/>
              <w:numPr>
                <w:ilvl w:val="0"/>
                <w:numId w:val="3"/>
              </w:numPr>
              <w:spacing w:before="60" w:after="60"/>
              <w:ind w:right="57"/>
              <w:contextualSpacing w:val="0"/>
            </w:pPr>
            <w:hyperlink r:id="rId19">
              <w:r w:rsidR="004B49A8" w:rsidRPr="009364E7">
                <w:rPr>
                  <w:rStyle w:val="Hyperlink"/>
                </w:rPr>
                <w:t>Australia’s top 10 solar-friendly postcodes revealed</w:t>
              </w:r>
            </w:hyperlink>
          </w:p>
          <w:p w14:paraId="7813A856" w14:textId="38835D4B" w:rsidR="0060240F" w:rsidRPr="009364E7" w:rsidRDefault="005D4F1A" w:rsidP="009364E7">
            <w:pPr>
              <w:pStyle w:val="ListParagraph"/>
              <w:numPr>
                <w:ilvl w:val="0"/>
                <w:numId w:val="3"/>
              </w:numPr>
              <w:spacing w:before="60" w:after="60"/>
              <w:ind w:right="57"/>
              <w:contextualSpacing w:val="0"/>
            </w:pPr>
            <w:hyperlink r:id="rId20">
              <w:r w:rsidR="00572EED" w:rsidRPr="009364E7">
                <w:rPr>
                  <w:rStyle w:val="Hyperlink"/>
                </w:rPr>
                <w:t>Queensland city tops national solar panel list</w:t>
              </w:r>
            </w:hyperlink>
          </w:p>
          <w:p w14:paraId="252DEDC5" w14:textId="229ED1B3" w:rsidR="00F74911" w:rsidRPr="009364E7" w:rsidRDefault="00F74911" w:rsidP="0060240F">
            <w:pPr>
              <w:spacing w:before="60" w:after="60"/>
              <w:ind w:left="57" w:right="57"/>
              <w:contextualSpacing w:val="0"/>
            </w:pPr>
            <w:r w:rsidRPr="009364E7">
              <w:t>‘</w:t>
            </w:r>
            <w:r w:rsidR="0060240F" w:rsidRPr="009364E7">
              <w:t>Queensland is leading Australia’s rooftop solar boom with eight of the country’s top 10 postcodes for installations in the Sunshine State, according to the new Clean Energy Australia 2018 report.</w:t>
            </w:r>
            <w:r w:rsidRPr="009364E7">
              <w:t>’</w:t>
            </w:r>
          </w:p>
          <w:p w14:paraId="6E076239" w14:textId="41DF967F" w:rsidR="0060240F" w:rsidRPr="009364E7" w:rsidRDefault="00F74911" w:rsidP="0060240F">
            <w:pPr>
              <w:spacing w:before="60" w:after="60"/>
              <w:ind w:left="57" w:right="57"/>
              <w:contextualSpacing w:val="0"/>
              <w:rPr>
                <w:sz w:val="20"/>
                <w:szCs w:val="20"/>
              </w:rPr>
            </w:pPr>
            <w:r w:rsidRPr="009364E7">
              <w:rPr>
                <w:sz w:val="20"/>
                <w:szCs w:val="20"/>
              </w:rPr>
              <w:t>The Sydney Morning Herald, June 16, 2018</w:t>
            </w:r>
          </w:p>
          <w:p w14:paraId="2C5025BC" w14:textId="77777777" w:rsidR="0060240F" w:rsidRPr="009364E7" w:rsidRDefault="0060240F" w:rsidP="003D6DE4">
            <w:pPr>
              <w:spacing w:before="60" w:after="60"/>
              <w:ind w:left="57" w:right="57"/>
              <w:contextualSpacing w:val="0"/>
            </w:pPr>
          </w:p>
        </w:tc>
      </w:tr>
    </w:tbl>
    <w:p w14:paraId="27ADCB6C" w14:textId="77777777" w:rsidR="004E312B" w:rsidRPr="009364E7" w:rsidRDefault="00027020" w:rsidP="00C14A8B">
      <w:pPr>
        <w:spacing w:before="120"/>
        <w:contextualSpacing w:val="0"/>
      </w:pPr>
      <w:r w:rsidRPr="009364E7">
        <w:t>Compare the media analysis with the averages by state.</w:t>
      </w:r>
    </w:p>
    <w:p w14:paraId="2D3D09FC" w14:textId="2F436356" w:rsidR="004E312B" w:rsidRPr="009364E7" w:rsidRDefault="00027020" w:rsidP="00C14A8B">
      <w:pPr>
        <w:spacing w:before="60"/>
        <w:contextualSpacing w:val="0"/>
      </w:pPr>
      <w:r w:rsidRPr="009364E7">
        <w:t xml:space="preserve">Check that </w:t>
      </w:r>
      <w:r w:rsidR="00FE4218" w:rsidRPr="009364E7">
        <w:t>students</w:t>
      </w:r>
      <w:r w:rsidR="00F74911" w:rsidRPr="009364E7">
        <w:t>’</w:t>
      </w:r>
      <w:r w:rsidRPr="009364E7">
        <w:t xml:space="preserve"> results come out the same as </w:t>
      </w:r>
      <w:r w:rsidR="00C14A8B" w:rsidRPr="009364E7">
        <w:t xml:space="preserve">in the example </w:t>
      </w:r>
      <w:r w:rsidR="00FE4218" w:rsidRPr="009364E7">
        <w:t>below</w:t>
      </w:r>
      <w:r w:rsidRPr="009364E7">
        <w:t>: (</w:t>
      </w:r>
      <w:r w:rsidR="00FE4218" w:rsidRPr="009364E7">
        <w:t>Note</w:t>
      </w:r>
      <w:r w:rsidR="00F74911" w:rsidRPr="009364E7">
        <w:t>:</w:t>
      </w:r>
      <w:r w:rsidR="00FE4218" w:rsidRPr="009364E7">
        <w:t xml:space="preserve"> in the example </w:t>
      </w:r>
      <w:r w:rsidRPr="009364E7">
        <w:t xml:space="preserve">ACT </w:t>
      </w:r>
      <w:r w:rsidR="00FE4218" w:rsidRPr="009364E7">
        <w:t xml:space="preserve">has been included </w:t>
      </w:r>
      <w:r w:rsidRPr="009364E7">
        <w:t xml:space="preserve">in NSW </w:t>
      </w:r>
      <w:r w:rsidR="00FE4218" w:rsidRPr="009364E7">
        <w:t xml:space="preserve">postcode data </w:t>
      </w:r>
      <w:r w:rsidRPr="009364E7">
        <w:t>as it makes the postcode handling easier)</w:t>
      </w:r>
      <w:r w:rsidR="00FE4218" w:rsidRPr="009364E7">
        <w:t>.</w:t>
      </w:r>
    </w:p>
    <w:p w14:paraId="351D99C2" w14:textId="17657540" w:rsidR="0073576F" w:rsidRPr="009364E7" w:rsidRDefault="0073576F" w:rsidP="0073576F">
      <w:pPr>
        <w:pStyle w:val="Heading4"/>
      </w:pPr>
      <w:r w:rsidRPr="009364E7">
        <w:t>Python program output: Average solar installations by state</w:t>
      </w:r>
    </w:p>
    <w:p w14:paraId="19B4CC96" w14:textId="7E5943A3" w:rsidR="004E312B" w:rsidRPr="009364E7" w:rsidRDefault="00027020" w:rsidP="0073576F">
      <w:pPr>
        <w:spacing w:after="240"/>
        <w:contextualSpacing w:val="0"/>
      </w:pPr>
      <w:r w:rsidRPr="009364E7">
        <w:rPr>
          <w:noProof/>
          <w:lang w:val="en-US"/>
        </w:rPr>
        <w:drawing>
          <wp:inline distT="114300" distB="114300" distL="114300" distR="114300" wp14:anchorId="6F0061AF" wp14:editId="7CB079FF">
            <wp:extent cx="5943600" cy="1930400"/>
            <wp:effectExtent l="0" t="0" r="0" b="0"/>
            <wp:docPr id="1" name="image4.png" descr="Screen Shot 2018-05-06 at 5.04.20 pm"/>
            <wp:cNvGraphicFramePr/>
            <a:graphic xmlns:a="http://schemas.openxmlformats.org/drawingml/2006/main">
              <a:graphicData uri="http://schemas.openxmlformats.org/drawingml/2006/picture">
                <pic:pic xmlns:pic="http://schemas.openxmlformats.org/drawingml/2006/picture">
                  <pic:nvPicPr>
                    <pic:cNvPr id="0" name="image4.png" descr="Screen Shot 2018-05-06 at 5.04.20 pm"/>
                    <pic:cNvPicPr preferRelativeResize="0"/>
                  </pic:nvPicPr>
                  <pic:blipFill>
                    <a:blip r:embed="rId21"/>
                    <a:srcRect/>
                    <a:stretch>
                      <a:fillRect/>
                    </a:stretch>
                  </pic:blipFill>
                  <pic:spPr>
                    <a:xfrm>
                      <a:off x="0" y="0"/>
                      <a:ext cx="5943600" cy="1930400"/>
                    </a:xfrm>
                    <a:prstGeom prst="rect">
                      <a:avLst/>
                    </a:prstGeom>
                    <a:ln/>
                  </pic:spPr>
                </pic:pic>
              </a:graphicData>
            </a:graphic>
          </wp:inline>
        </w:drawing>
      </w:r>
    </w:p>
    <w:tbl>
      <w:tblPr>
        <w:tblStyle w:val="TableGrid"/>
        <w:tblW w:w="0" w:type="auto"/>
        <w:tblLook w:val="04A0" w:firstRow="1" w:lastRow="0" w:firstColumn="1" w:lastColumn="0" w:noHBand="0" w:noVBand="1"/>
      </w:tblPr>
      <w:tblGrid>
        <w:gridCol w:w="9350"/>
      </w:tblGrid>
      <w:tr w:rsidR="00FE4218" w:rsidRPr="009364E7" w14:paraId="0151BBE8" w14:textId="77777777" w:rsidTr="003D6DE4">
        <w:tc>
          <w:tcPr>
            <w:tcW w:w="9350" w:type="dxa"/>
            <w:shd w:val="clear" w:color="auto" w:fill="E5DFEC" w:themeFill="accent4" w:themeFillTint="33"/>
          </w:tcPr>
          <w:p w14:paraId="21222626" w14:textId="663A8327" w:rsidR="00FE4218" w:rsidRPr="009364E7" w:rsidRDefault="00FE4218" w:rsidP="00FE4218">
            <w:pPr>
              <w:spacing w:before="60" w:after="60"/>
              <w:ind w:left="57" w:right="57"/>
              <w:contextualSpacing w:val="0"/>
            </w:pPr>
            <w:r w:rsidRPr="009364E7">
              <w:t>Interestingly</w:t>
            </w:r>
            <w:r w:rsidR="00C14A8B" w:rsidRPr="009364E7">
              <w:t>,</w:t>
            </w:r>
            <w:r w:rsidRPr="009364E7">
              <w:t xml:space="preserve"> this shows that the state that dominates the top 20 doesn’t perform as well when you average over all of its postcodes, so there is another rich conversation to be had about different ways of ranking data outcomes, and how you can characterise data in accurate but misleading ways.</w:t>
            </w:r>
          </w:p>
          <w:p w14:paraId="361E30E2" w14:textId="698EBCDB" w:rsidR="00FE4218" w:rsidRPr="009364E7" w:rsidRDefault="00FE4218" w:rsidP="00FE4218">
            <w:pPr>
              <w:spacing w:before="60" w:after="60"/>
              <w:ind w:left="57" w:right="57"/>
              <w:contextualSpacing w:val="0"/>
            </w:pPr>
            <w:r w:rsidRPr="009364E7">
              <w:t xml:space="preserve">The media reported this data saying that Queensland and WA were the best for solar. </w:t>
            </w:r>
            <w:r w:rsidR="00C80C4E" w:rsidRPr="009364E7">
              <w:t>However,</w:t>
            </w:r>
            <w:r w:rsidRPr="009364E7">
              <w:t xml:space="preserve"> although they had the </w:t>
            </w:r>
            <w:r w:rsidR="00C80C4E" w:rsidRPr="009364E7">
              <w:t>highest-ranking</w:t>
            </w:r>
            <w:r w:rsidRPr="009364E7">
              <w:t xml:space="preserve"> postcodes, as state</w:t>
            </w:r>
            <w:r w:rsidR="00B719AD" w:rsidRPr="009364E7">
              <w:t>s</w:t>
            </w:r>
            <w:r w:rsidRPr="009364E7">
              <w:t xml:space="preserve"> they ranked very low.</w:t>
            </w:r>
          </w:p>
          <w:p w14:paraId="3F4626F8" w14:textId="77777777" w:rsidR="00FE4218" w:rsidRPr="009364E7" w:rsidRDefault="00FE4218" w:rsidP="003D6DE4">
            <w:pPr>
              <w:spacing w:before="60" w:after="60"/>
              <w:ind w:left="57" w:right="57"/>
              <w:contextualSpacing w:val="0"/>
            </w:pPr>
          </w:p>
        </w:tc>
      </w:tr>
    </w:tbl>
    <w:p w14:paraId="3B21FD1F" w14:textId="62ECBB17" w:rsidR="004E312B" w:rsidRPr="009364E7" w:rsidRDefault="00027020" w:rsidP="009364E7">
      <w:pPr>
        <w:pStyle w:val="Heading3"/>
      </w:pPr>
      <w:r w:rsidRPr="009364E7">
        <w:t xml:space="preserve">Step </w:t>
      </w:r>
      <w:r w:rsidR="002F0D3B" w:rsidRPr="009364E7">
        <w:t>6</w:t>
      </w:r>
      <w:r w:rsidRPr="009364E7">
        <w:t>: Data</w:t>
      </w:r>
      <w:r w:rsidR="00656687" w:rsidRPr="009364E7">
        <w:t xml:space="preserve"> –</w:t>
      </w:r>
      <w:r w:rsidRPr="009364E7">
        <w:t xml:space="preserve"> interrelated </w:t>
      </w:r>
    </w:p>
    <w:p w14:paraId="4E6025EA" w14:textId="77777777" w:rsidR="004E312B" w:rsidRPr="009364E7" w:rsidRDefault="00FE4218">
      <w:pPr>
        <w:contextualSpacing w:val="0"/>
      </w:pPr>
      <w:r w:rsidRPr="009364E7">
        <w:t>Students</w:t>
      </w:r>
      <w:r w:rsidR="00027020" w:rsidRPr="009364E7">
        <w:t xml:space="preserve"> can </w:t>
      </w:r>
      <w:r w:rsidRPr="009364E7">
        <w:t>continue</w:t>
      </w:r>
      <w:r w:rsidR="00027020" w:rsidRPr="009364E7">
        <w:t xml:space="preserve"> </w:t>
      </w:r>
      <w:r w:rsidRPr="009364E7">
        <w:t>to explore the different columns. Alternatively</w:t>
      </w:r>
      <w:r w:rsidR="00556008" w:rsidRPr="009364E7">
        <w:t>,</w:t>
      </w:r>
      <w:r w:rsidRPr="009364E7">
        <w:t xml:space="preserve"> as a further challenge </w:t>
      </w:r>
      <w:r w:rsidR="00027020" w:rsidRPr="009364E7">
        <w:t>look at how the columns are related. For example, are postcodes with a lot of historical solar installations also likely to have a lot of recent ones? You can do that roughly by eye, simply by looking at whether the top twenty</w:t>
      </w:r>
      <w:r w:rsidR="00556008" w:rsidRPr="009364E7">
        <w:t>,</w:t>
      </w:r>
      <w:r w:rsidR="00027020" w:rsidRPr="009364E7">
        <w:t xml:space="preserve"> when sorted by those two columns</w:t>
      </w:r>
      <w:r w:rsidR="00556008" w:rsidRPr="009364E7">
        <w:t>,</w:t>
      </w:r>
      <w:r w:rsidR="00027020" w:rsidRPr="009364E7">
        <w:t xml:space="preserve"> is similar or very different, or you can use the correlation function to find out whether the columns are correlated.</w:t>
      </w:r>
    </w:p>
    <w:p w14:paraId="395B9747" w14:textId="7F75EE9E" w:rsidR="004E312B" w:rsidRPr="009364E7" w:rsidRDefault="00027020" w:rsidP="009364E7">
      <w:pPr>
        <w:pStyle w:val="Heading3"/>
      </w:pPr>
      <w:r w:rsidRPr="009364E7">
        <w:t xml:space="preserve">Step </w:t>
      </w:r>
      <w:r w:rsidR="002F0D3B" w:rsidRPr="009364E7">
        <w:t>7</w:t>
      </w:r>
      <w:r w:rsidRPr="009364E7">
        <w:t>: Visualise and aggregate data</w:t>
      </w:r>
    </w:p>
    <w:p w14:paraId="62DB2472" w14:textId="43F3891B" w:rsidR="008B74C7" w:rsidRPr="009364E7" w:rsidRDefault="008B74C7">
      <w:pPr>
        <w:contextualSpacing w:val="0"/>
      </w:pPr>
      <w:r w:rsidRPr="009364E7">
        <w:t xml:space="preserve">Students can </w:t>
      </w:r>
      <w:r w:rsidR="00027020" w:rsidRPr="009364E7">
        <w:t xml:space="preserve">visualise </w:t>
      </w:r>
      <w:r w:rsidRPr="009364E7">
        <w:t xml:space="preserve">their data. Students </w:t>
      </w:r>
      <w:r w:rsidR="00027020" w:rsidRPr="009364E7">
        <w:t xml:space="preserve">first </w:t>
      </w:r>
      <w:r w:rsidRPr="009364E7">
        <w:t xml:space="preserve">consider </w:t>
      </w:r>
      <w:r w:rsidR="00027020" w:rsidRPr="009364E7">
        <w:t xml:space="preserve">the aim of </w:t>
      </w:r>
      <w:r w:rsidRPr="009364E7">
        <w:t>their</w:t>
      </w:r>
      <w:r w:rsidR="00027020" w:rsidRPr="009364E7">
        <w:t xml:space="preserve"> visualisation. </w:t>
      </w:r>
    </w:p>
    <w:p w14:paraId="0C12189C" w14:textId="77777777" w:rsidR="004E312B" w:rsidRPr="009364E7" w:rsidRDefault="008B74C7" w:rsidP="002D2DBE">
      <w:pPr>
        <w:pStyle w:val="Style1"/>
      </w:pPr>
      <w:r w:rsidRPr="009364E7">
        <w:t>Use question prompts such as</w:t>
      </w:r>
      <w:r w:rsidR="00027020" w:rsidRPr="009364E7">
        <w:t>:</w:t>
      </w:r>
    </w:p>
    <w:p w14:paraId="2D46E16E" w14:textId="77777777" w:rsidR="004E312B" w:rsidRPr="009364E7" w:rsidRDefault="00027020" w:rsidP="006B7394">
      <w:pPr>
        <w:pStyle w:val="ListBullet"/>
      </w:pPr>
      <w:r w:rsidRPr="009364E7">
        <w:t>What is it you want to highlight about the data?</w:t>
      </w:r>
    </w:p>
    <w:p w14:paraId="1342FAC0" w14:textId="77777777" w:rsidR="004E312B" w:rsidRPr="009364E7" w:rsidRDefault="00027020" w:rsidP="009364E7">
      <w:pPr>
        <w:pStyle w:val="ListBullet2"/>
      </w:pPr>
      <w:r w:rsidRPr="009364E7">
        <w:t>For example, do you want to highlight January Installations, the states that do best with solar installations in total, or the change over time?</w:t>
      </w:r>
    </w:p>
    <w:p w14:paraId="0B9A5DA9" w14:textId="77777777" w:rsidR="004E312B" w:rsidRPr="009364E7" w:rsidRDefault="00027020" w:rsidP="006B7394">
      <w:pPr>
        <w:pStyle w:val="ListBullet"/>
      </w:pPr>
      <w:r w:rsidRPr="009364E7">
        <w:t xml:space="preserve">Which column or summary statistic shows that point best? </w:t>
      </w:r>
    </w:p>
    <w:p w14:paraId="3C07E1EE" w14:textId="77777777" w:rsidR="004E312B" w:rsidRPr="009364E7" w:rsidRDefault="00027020" w:rsidP="006B7394">
      <w:pPr>
        <w:pStyle w:val="ListBullet"/>
      </w:pPr>
      <w:r w:rsidRPr="009364E7">
        <w:t xml:space="preserve">What is the best graph type for that information? </w:t>
      </w:r>
    </w:p>
    <w:p w14:paraId="15733085" w14:textId="3A78EFAC" w:rsidR="004E312B" w:rsidRPr="009364E7" w:rsidRDefault="008B74C7" w:rsidP="009364E7">
      <w:pPr>
        <w:pStyle w:val="ListBullet2"/>
      </w:pPr>
      <w:r w:rsidRPr="009364E7">
        <w:t>This</w:t>
      </w:r>
      <w:r w:rsidR="00027020" w:rsidRPr="009364E7">
        <w:t xml:space="preserve"> is a useful </w:t>
      </w:r>
      <w:hyperlink r:id="rId22" w:history="1">
        <w:r w:rsidR="00027020" w:rsidRPr="009364E7">
          <w:rPr>
            <w:rStyle w:val="Hyperlink"/>
          </w:rPr>
          <w:t>tutorial</w:t>
        </w:r>
      </w:hyperlink>
      <w:r w:rsidR="00027020" w:rsidRPr="009364E7">
        <w:t xml:space="preserve"> on graph types</w:t>
      </w:r>
      <w:r w:rsidR="00556008" w:rsidRPr="009364E7">
        <w:t>.</w:t>
      </w:r>
      <w:r w:rsidR="00027020" w:rsidRPr="009364E7">
        <w:t xml:space="preserve"> </w:t>
      </w:r>
    </w:p>
    <w:p w14:paraId="7F19159C" w14:textId="77777777" w:rsidR="004E312B" w:rsidRPr="009364E7" w:rsidRDefault="00027020" w:rsidP="006B7394">
      <w:pPr>
        <w:pStyle w:val="ListBullet"/>
      </w:pPr>
      <w:r w:rsidRPr="009364E7">
        <w:t>How much data do you want to display?</w:t>
      </w:r>
    </w:p>
    <w:p w14:paraId="005F03D4" w14:textId="77777777" w:rsidR="004E312B" w:rsidRPr="009364E7" w:rsidRDefault="00027020" w:rsidP="006B7394">
      <w:pPr>
        <w:pStyle w:val="ListBullet2"/>
      </w:pPr>
      <w:r w:rsidRPr="009364E7">
        <w:t>Trying to graph all of the information will make your graph cluttered and your graph elements hard to read</w:t>
      </w:r>
      <w:r w:rsidR="00556008" w:rsidRPr="009364E7">
        <w:t>.</w:t>
      </w:r>
    </w:p>
    <w:p w14:paraId="58227CC2" w14:textId="3550D3F2" w:rsidR="004E312B" w:rsidRPr="009364E7" w:rsidRDefault="00027020" w:rsidP="006B7394">
      <w:pPr>
        <w:pStyle w:val="ListBullet2"/>
      </w:pPr>
      <w:r w:rsidRPr="009364E7">
        <w:t xml:space="preserve">Can you aggregate the data in some way </w:t>
      </w:r>
      <w:r w:rsidR="00556008" w:rsidRPr="009364E7">
        <w:t xml:space="preserve">– </w:t>
      </w:r>
      <w:r w:rsidRPr="009364E7">
        <w:t>for example</w:t>
      </w:r>
      <w:r w:rsidR="00556008" w:rsidRPr="009364E7">
        <w:t>,</w:t>
      </w:r>
      <w:r w:rsidRPr="009364E7">
        <w:t xml:space="preserve"> by state instead of by postcode, or show the number of postcodes above 20,000, the number between 15,000 and 20,000, the number between 10,000 and 15,000. This is a histogram.</w:t>
      </w:r>
    </w:p>
    <w:p w14:paraId="3E1906C7" w14:textId="77777777" w:rsidR="008B74C7" w:rsidRPr="009364E7" w:rsidRDefault="008B74C7" w:rsidP="006B7394">
      <w:pPr>
        <w:pStyle w:val="ListBullet"/>
        <w:rPr>
          <w:u w:val="single"/>
          <w:lang w:val="en-AU"/>
        </w:rPr>
      </w:pPr>
      <w:r w:rsidRPr="009364E7">
        <w:t>How would the data display on an online map?</w:t>
      </w:r>
    </w:p>
    <w:p w14:paraId="6125E286" w14:textId="77777777" w:rsidR="000033BF" w:rsidRPr="009364E7" w:rsidRDefault="000033BF" w:rsidP="006B7394">
      <w:pPr>
        <w:pStyle w:val="ListBullet2"/>
        <w:rPr>
          <w:rStyle w:val="Hyperlink"/>
          <w:color w:val="auto"/>
          <w:lang w:val="en-AU"/>
        </w:rPr>
      </w:pPr>
      <w:r w:rsidRPr="009364E7">
        <w:t xml:space="preserve">The data could be plotted on an online map such as </w:t>
      </w:r>
      <w:r w:rsidRPr="009364E7">
        <w:rPr>
          <w:lang w:val="en-AU"/>
        </w:rPr>
        <w:fldChar w:fldCharType="begin"/>
      </w:r>
      <w:r w:rsidRPr="009364E7">
        <w:rPr>
          <w:lang w:val="en-AU"/>
        </w:rPr>
        <w:instrText xml:space="preserve"> HYPERLINK "https://www.google.com/mymaps" </w:instrText>
      </w:r>
      <w:r w:rsidRPr="009364E7">
        <w:rPr>
          <w:lang w:val="en-AU"/>
        </w:rPr>
        <w:fldChar w:fldCharType="separate"/>
      </w:r>
      <w:r w:rsidRPr="009364E7">
        <w:rPr>
          <w:rStyle w:val="Hyperlink"/>
          <w:lang w:val="en-AU"/>
        </w:rPr>
        <w:t>Google MyMaps.</w:t>
      </w:r>
      <w:r w:rsidRPr="009364E7">
        <w:rPr>
          <w:rStyle w:val="Hyperlink"/>
          <w:color w:val="auto"/>
          <w:lang w:val="en-AU"/>
        </w:rPr>
        <w:t xml:space="preserve"> </w:t>
      </w:r>
    </w:p>
    <w:p w14:paraId="05700D8B" w14:textId="77777777" w:rsidR="000033BF" w:rsidRPr="009364E7" w:rsidRDefault="000033BF" w:rsidP="006B7394">
      <w:pPr>
        <w:pStyle w:val="ListBullet2"/>
      </w:pPr>
      <w:r w:rsidRPr="009364E7">
        <w:fldChar w:fldCharType="end"/>
      </w:r>
      <w:r w:rsidRPr="009364E7">
        <w:t xml:space="preserve">Data could be collated in tabs on a </w:t>
      </w:r>
      <w:r w:rsidR="00556008" w:rsidRPr="009364E7">
        <w:t>csv</w:t>
      </w:r>
      <w:r w:rsidRPr="009364E7">
        <w:t xml:space="preserve"> spreadsheet for each state and territory and uploaded. The data can be selected and deselected to visualise data. </w:t>
      </w:r>
    </w:p>
    <w:p w14:paraId="36C43F53" w14:textId="3CD962C9" w:rsidR="00CE6BEB" w:rsidRPr="009364E7" w:rsidRDefault="00CE6BEB" w:rsidP="006B7394">
      <w:pPr>
        <w:pStyle w:val="ListBullet2"/>
      </w:pPr>
      <w:r w:rsidRPr="009364E7">
        <w:t>In order to effectively upload data using online mapping software</w:t>
      </w:r>
      <w:r w:rsidR="00556008" w:rsidRPr="009364E7">
        <w:t>,</w:t>
      </w:r>
      <w:r w:rsidRPr="009364E7">
        <w:t xml:space="preserve"> the location needs to be identified in some way, often using latitude and longitude. In our dataset we have postcode data</w:t>
      </w:r>
      <w:r w:rsidR="00556008" w:rsidRPr="009364E7">
        <w:t>.</w:t>
      </w:r>
      <w:r w:rsidRPr="009364E7">
        <w:t xml:space="preserve"> </w:t>
      </w:r>
      <w:r w:rsidR="00556008" w:rsidRPr="009364E7">
        <w:t>H</w:t>
      </w:r>
      <w:r w:rsidRPr="009364E7">
        <w:t>owever</w:t>
      </w:r>
      <w:r w:rsidR="00556008" w:rsidRPr="009364E7">
        <w:t>,</w:t>
      </w:r>
      <w:r w:rsidRPr="009364E7">
        <w:t xml:space="preserve"> </w:t>
      </w:r>
      <w:r w:rsidR="005E5CCB" w:rsidRPr="009364E7">
        <w:t xml:space="preserve">for that data </w:t>
      </w:r>
      <w:r w:rsidRPr="009364E7">
        <w:t>to be plotted more accurately</w:t>
      </w:r>
      <w:r w:rsidR="00556008" w:rsidRPr="009364E7">
        <w:t>,</w:t>
      </w:r>
      <w:r w:rsidRPr="009364E7">
        <w:t xml:space="preserve"> adding the suburb information </w:t>
      </w:r>
      <w:r w:rsidR="005E5CCB" w:rsidRPr="009364E7">
        <w:t>helps [Note</w:t>
      </w:r>
      <w:r w:rsidR="00556008" w:rsidRPr="009364E7">
        <w:t>:</w:t>
      </w:r>
      <w:r w:rsidR="005E5CCB" w:rsidRPr="009364E7">
        <w:t xml:space="preserve"> this can </w:t>
      </w:r>
      <w:r w:rsidRPr="009364E7">
        <w:t>be time consuming for a large data</w:t>
      </w:r>
      <w:r w:rsidR="005E5CCB" w:rsidRPr="009364E7">
        <w:t>set.]</w:t>
      </w:r>
    </w:p>
    <w:p w14:paraId="312E1FBB" w14:textId="3894B35C" w:rsidR="003D18D0" w:rsidRPr="009364E7" w:rsidRDefault="003D18D0">
      <w:r w:rsidRPr="009364E7">
        <w:br w:type="page"/>
      </w:r>
    </w:p>
    <w:p w14:paraId="7CBA1FEE" w14:textId="074229EC" w:rsidR="003D18D0" w:rsidRPr="009364E7" w:rsidRDefault="003D18D0" w:rsidP="003D18D0">
      <w:pPr>
        <w:pStyle w:val="Heading4"/>
      </w:pPr>
      <w:r w:rsidRPr="009364E7">
        <w:t>Image: Dataset with suburb name and state/territory added</w:t>
      </w:r>
    </w:p>
    <w:p w14:paraId="21BE24FA" w14:textId="187A89E3" w:rsidR="00FE4218" w:rsidRPr="009364E7" w:rsidRDefault="00CE6BEB" w:rsidP="00FE4218">
      <w:r w:rsidRPr="009364E7">
        <w:rPr>
          <w:noProof/>
          <w:lang w:val="en-US"/>
        </w:rPr>
        <w:drawing>
          <wp:inline distT="0" distB="0" distL="0" distR="0" wp14:anchorId="19451C8E" wp14:editId="00EEEA39">
            <wp:extent cx="4524375" cy="3181081"/>
            <wp:effectExtent l="0" t="0" r="0"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4536898" cy="3189886"/>
                    </a:xfrm>
                    <a:prstGeom prst="rect">
                      <a:avLst/>
                    </a:prstGeom>
                  </pic:spPr>
                </pic:pic>
              </a:graphicData>
            </a:graphic>
          </wp:inline>
        </w:drawing>
      </w:r>
    </w:p>
    <w:p w14:paraId="2E7F06DE" w14:textId="0BEDD19E" w:rsidR="004E312B" w:rsidRPr="009364E7" w:rsidRDefault="00027020" w:rsidP="00C14A8B">
      <w:pPr>
        <w:spacing w:before="120"/>
        <w:contextualSpacing w:val="0"/>
      </w:pPr>
      <w:r w:rsidRPr="009364E7">
        <w:t>Another technique would be to colour a map by number of solar installations</w:t>
      </w:r>
      <w:r w:rsidR="00C14A8B" w:rsidRPr="009364E7">
        <w:t>,</w:t>
      </w:r>
      <w:r w:rsidRPr="009364E7">
        <w:t xml:space="preserve"> </w:t>
      </w:r>
      <w:r w:rsidR="00C14A8B" w:rsidRPr="009364E7">
        <w:t>s</w:t>
      </w:r>
      <w:r w:rsidRPr="009364E7">
        <w:t>ay, bright red for &gt;9000 and becoming paler for each drop of 1000. This would be rather time</w:t>
      </w:r>
      <w:r w:rsidR="00C14A8B" w:rsidRPr="009364E7">
        <w:t>-</w:t>
      </w:r>
      <w:r w:rsidRPr="009364E7">
        <w:t xml:space="preserve">consuming given that there are 2795 postcodes listed, so this is an opportunity to consider aggregating your data and colouring by state. It’s a great example of not needing complex technical skills to explore a dataset. </w:t>
      </w:r>
      <w:r w:rsidR="00C14A8B" w:rsidRPr="009364E7">
        <w:t xml:space="preserve">This is called a choropleth map. </w:t>
      </w:r>
      <w:r w:rsidRPr="009364E7">
        <w:t xml:space="preserve">You can use </w:t>
      </w:r>
      <w:hyperlink r:id="rId24">
        <w:r w:rsidR="004C2A41" w:rsidRPr="009364E7">
          <w:rPr>
            <w:color w:val="1155CC"/>
            <w:u w:val="single"/>
          </w:rPr>
          <w:t>National Map</w:t>
        </w:r>
      </w:hyperlink>
      <w:r w:rsidRPr="009364E7">
        <w:t xml:space="preserve"> to do this. </w:t>
      </w:r>
    </w:p>
    <w:p w14:paraId="1BDEF979" w14:textId="57897987" w:rsidR="0005626B" w:rsidRPr="009364E7" w:rsidRDefault="0005626B" w:rsidP="0005626B">
      <w:pPr>
        <w:pStyle w:val="Heading2"/>
        <w:contextualSpacing w:val="0"/>
      </w:pPr>
      <w:r w:rsidRPr="009364E7">
        <w:t>Resources</w:t>
      </w:r>
    </w:p>
    <w:p w14:paraId="541553CC" w14:textId="34D167D8" w:rsidR="0005626B" w:rsidRPr="009364E7" w:rsidRDefault="005D4F1A" w:rsidP="009364E7">
      <w:pPr>
        <w:pStyle w:val="ListParagraph"/>
        <w:numPr>
          <w:ilvl w:val="0"/>
          <w:numId w:val="4"/>
        </w:numPr>
        <w:contextualSpacing w:val="0"/>
        <w:rPr>
          <w:rStyle w:val="Hyperlink"/>
          <w:color w:val="auto"/>
        </w:rPr>
      </w:pPr>
      <w:hyperlink r:id="rId25">
        <w:r w:rsidR="004C2A41" w:rsidRPr="009364E7">
          <w:rPr>
            <w:rStyle w:val="Hyperlink"/>
          </w:rPr>
          <w:t>Australian Government Clean Energy Regulator: Postcode data for small-scale installations</w:t>
        </w:r>
      </w:hyperlink>
    </w:p>
    <w:p w14:paraId="1EB2A55D" w14:textId="77777777" w:rsidR="005E5CCB" w:rsidRPr="009364E7" w:rsidRDefault="005D4F1A" w:rsidP="009364E7">
      <w:pPr>
        <w:pStyle w:val="ListParagraph"/>
        <w:numPr>
          <w:ilvl w:val="0"/>
          <w:numId w:val="4"/>
        </w:numPr>
        <w:contextualSpacing w:val="0"/>
      </w:pPr>
      <w:hyperlink r:id="rId26" w:history="1">
        <w:r w:rsidR="005E5CCB" w:rsidRPr="009364E7">
          <w:rPr>
            <w:rStyle w:val="Hyperlink"/>
          </w:rPr>
          <w:t>Solar PV Maps and Tools</w:t>
        </w:r>
      </w:hyperlink>
      <w:r w:rsidR="005E5CCB" w:rsidRPr="009364E7">
        <w:t xml:space="preserve"> </w:t>
      </w:r>
    </w:p>
    <w:p w14:paraId="467E911D" w14:textId="77777777" w:rsidR="0005626B" w:rsidRPr="009364E7" w:rsidRDefault="005E5CCB" w:rsidP="003D18D0">
      <w:pPr>
        <w:pStyle w:val="ListParagraph"/>
        <w:ind w:left="360"/>
      </w:pPr>
      <w:r w:rsidRPr="009364E7">
        <w:t>Understand the Australian solar PV market with live generation data, historical maps and animations, and tools to explore rooftop PV potential and per-postcode market data.</w:t>
      </w:r>
    </w:p>
    <w:p w14:paraId="781C0D11" w14:textId="2C09AA54" w:rsidR="005E5CCB" w:rsidRPr="009364E7" w:rsidRDefault="005D4F1A" w:rsidP="009364E7">
      <w:pPr>
        <w:pStyle w:val="ListParagraph"/>
        <w:numPr>
          <w:ilvl w:val="0"/>
          <w:numId w:val="5"/>
        </w:numPr>
        <w:contextualSpacing w:val="0"/>
      </w:pPr>
      <w:hyperlink r:id="rId27" w:history="1">
        <w:r w:rsidR="004C2A41" w:rsidRPr="009364E7">
          <w:rPr>
            <w:rStyle w:val="Hyperlink"/>
          </w:rPr>
          <w:t>National Map</w:t>
        </w:r>
      </w:hyperlink>
    </w:p>
    <w:p w14:paraId="672E5064" w14:textId="45082AA1" w:rsidR="003D6DE4" w:rsidRPr="009364E7" w:rsidRDefault="003D6DE4" w:rsidP="003D18D0">
      <w:pPr>
        <w:pStyle w:val="ListParagraph"/>
        <w:ind w:left="360"/>
      </w:pPr>
      <w:r w:rsidRPr="009364E7">
        <w:t>National</w:t>
      </w:r>
      <w:r w:rsidR="008B74C7" w:rsidRPr="009364E7">
        <w:t xml:space="preserve"> </w:t>
      </w:r>
      <w:r w:rsidRPr="009364E7">
        <w:t>Map is an online map-based tool to allow easy access to spatial data from Australian government agencies. Mapping data can be added</w:t>
      </w:r>
      <w:r w:rsidR="004C2A41" w:rsidRPr="009364E7">
        <w:t>, but</w:t>
      </w:r>
      <w:r w:rsidRPr="009364E7">
        <w:t xml:space="preserve"> needs to include latitude and longitude data. </w:t>
      </w:r>
    </w:p>
    <w:p w14:paraId="76691F9C" w14:textId="77777777" w:rsidR="005E5CCB" w:rsidRPr="009364E7" w:rsidRDefault="005D4F1A" w:rsidP="009364E7">
      <w:pPr>
        <w:pStyle w:val="ListParagraph"/>
        <w:numPr>
          <w:ilvl w:val="0"/>
          <w:numId w:val="5"/>
        </w:numPr>
        <w:contextualSpacing w:val="0"/>
        <w:rPr>
          <w:bCs/>
          <w:u w:val="single"/>
          <w:lang w:val="en-AU"/>
        </w:rPr>
      </w:pPr>
      <w:hyperlink r:id="rId28" w:history="1">
        <w:r w:rsidR="005E5CCB" w:rsidRPr="009364E7">
          <w:rPr>
            <w:rStyle w:val="Hyperlink"/>
            <w:bCs/>
            <w:lang w:val="en-AU"/>
          </w:rPr>
          <w:t>Find a postcode</w:t>
        </w:r>
      </w:hyperlink>
    </w:p>
    <w:p w14:paraId="39EEA42D" w14:textId="77777777" w:rsidR="005E5CCB" w:rsidRPr="009364E7" w:rsidRDefault="005E5CCB" w:rsidP="003D18D0">
      <w:pPr>
        <w:pStyle w:val="ListParagraph"/>
        <w:ind w:left="360"/>
        <w:rPr>
          <w:u w:val="single"/>
        </w:rPr>
      </w:pPr>
      <w:r w:rsidRPr="009364E7">
        <w:t xml:space="preserve">This postcode finder </w:t>
      </w:r>
      <w:r w:rsidR="004C2A41" w:rsidRPr="009364E7">
        <w:t xml:space="preserve">from Australia Post </w:t>
      </w:r>
      <w:r w:rsidRPr="009364E7">
        <w:t>is a quick and easy way to search and check postcodes for all suburbs and locations around Australia.</w:t>
      </w:r>
    </w:p>
    <w:p w14:paraId="5E6C1F2E" w14:textId="04517CBA" w:rsidR="009927CF" w:rsidRPr="009364E7" w:rsidRDefault="005D4F1A" w:rsidP="009364E7">
      <w:pPr>
        <w:pStyle w:val="ListParagraph"/>
        <w:numPr>
          <w:ilvl w:val="0"/>
          <w:numId w:val="5"/>
        </w:numPr>
        <w:contextualSpacing w:val="0"/>
      </w:pPr>
      <w:hyperlink r:id="rId29" w:history="1">
        <w:r w:rsidR="004C2A41" w:rsidRPr="009364E7">
          <w:rPr>
            <w:rStyle w:val="Hyperlink"/>
          </w:rPr>
          <w:t>Postcodes in Australia</w:t>
        </w:r>
      </w:hyperlink>
      <w:r w:rsidR="009927CF" w:rsidRPr="009364E7">
        <w:t xml:space="preserve"> </w:t>
      </w:r>
    </w:p>
    <w:p w14:paraId="74F519AD" w14:textId="452AA20B" w:rsidR="005E5CCB" w:rsidRPr="009364E7" w:rsidRDefault="005E5CCB" w:rsidP="003D18D0">
      <w:pPr>
        <w:pStyle w:val="ListParagraph"/>
        <w:ind w:left="360"/>
      </w:pPr>
      <w:r w:rsidRPr="009364E7">
        <w:t>Provides postcode ranges for Australian states and territories.</w:t>
      </w:r>
    </w:p>
    <w:p w14:paraId="06F35391" w14:textId="77777777" w:rsidR="001D705E" w:rsidRPr="009364E7" w:rsidRDefault="004C2A41" w:rsidP="009364E7">
      <w:pPr>
        <w:pStyle w:val="ListParagraph"/>
        <w:numPr>
          <w:ilvl w:val="0"/>
          <w:numId w:val="5"/>
        </w:numPr>
        <w:contextualSpacing w:val="0"/>
      </w:pPr>
      <w:hyperlink r:id="rId30">
        <w:r w:rsidRPr="009364E7">
          <w:rPr>
            <w:color w:val="1155CC"/>
            <w:u w:val="single"/>
          </w:rPr>
          <w:t>Graphing tutorial</w:t>
        </w:r>
      </w:hyperlink>
    </w:p>
    <w:p w14:paraId="2A1C0E60" w14:textId="58FF180D" w:rsidR="009364E7" w:rsidRDefault="0005626B" w:rsidP="009364E7">
      <w:pPr>
        <w:pStyle w:val="ListParagraph"/>
        <w:ind w:left="360"/>
        <w:contextualSpacing w:val="0"/>
      </w:pPr>
      <w:r w:rsidRPr="009364E7">
        <w:t xml:space="preserve">Useful tutorial on graph types </w:t>
      </w:r>
    </w:p>
    <w:p w14:paraId="5C9B9DBC" w14:textId="7BC74A97" w:rsidR="0005626B" w:rsidRDefault="009364E7" w:rsidP="009364E7">
      <w:pPr>
        <w:pStyle w:val="Heading2"/>
      </w:pPr>
      <w:r>
        <w:br w:type="page"/>
        <w:t>Curriculum links:</w:t>
      </w:r>
      <w:bookmarkStart w:id="4" w:name="_GoBack"/>
      <w:bookmarkEnd w:id="4"/>
    </w:p>
    <w:p w14:paraId="2785805D" w14:textId="77777777" w:rsidR="009364E7" w:rsidRDefault="009364E7" w:rsidP="009364E7"/>
    <w:tbl>
      <w:tblPr>
        <w:tblW w:w="0" w:type="auto"/>
        <w:tblCellMar>
          <w:top w:w="15" w:type="dxa"/>
          <w:left w:w="15" w:type="dxa"/>
          <w:bottom w:w="15" w:type="dxa"/>
          <w:right w:w="15" w:type="dxa"/>
        </w:tblCellMar>
        <w:tblLook w:val="04A0" w:firstRow="1" w:lastRow="0" w:firstColumn="1" w:lastColumn="0" w:noHBand="0" w:noVBand="1"/>
      </w:tblPr>
      <w:tblGrid>
        <w:gridCol w:w="1466"/>
        <w:gridCol w:w="7894"/>
      </w:tblGrid>
      <w:tr w:rsidR="009364E7" w:rsidRPr="009364E7" w14:paraId="111F822A" w14:textId="77777777" w:rsidTr="00D96BA0">
        <w:tc>
          <w:tcPr>
            <w:tcW w:w="0" w:type="auto"/>
            <w:gridSpan w:val="2"/>
            <w:tcBorders>
              <w:top w:val="nil"/>
              <w:left w:val="nil"/>
              <w:bottom w:val="nil"/>
              <w:right w:val="nil"/>
            </w:tcBorders>
            <w:shd w:val="clear" w:color="auto" w:fill="auto"/>
            <w:tcMar>
              <w:top w:w="0" w:type="dxa"/>
              <w:left w:w="225" w:type="dxa"/>
              <w:bottom w:w="0" w:type="dxa"/>
              <w:right w:w="225" w:type="dxa"/>
            </w:tcMar>
            <w:vAlign w:val="center"/>
            <w:hideMark/>
          </w:tcPr>
          <w:p w14:paraId="1EE8C812" w14:textId="77777777" w:rsidR="009364E7" w:rsidRPr="009364E7" w:rsidRDefault="009364E7" w:rsidP="00D96BA0">
            <w:pPr>
              <w:spacing w:line="240" w:lineRule="auto"/>
              <w:rPr>
                <w:rFonts w:eastAsia="Times New Roman"/>
                <w:color w:val="777777"/>
                <w:lang w:eastAsia="en-AU"/>
              </w:rPr>
            </w:pPr>
            <w:r w:rsidRPr="009364E7">
              <w:rPr>
                <w:rFonts w:eastAsia="Times New Roman"/>
                <w:color w:val="777777"/>
                <w:lang w:eastAsia="en-AU"/>
              </w:rPr>
              <w:t>Links with Digital Technologies Curriculum Area.</w:t>
            </w:r>
          </w:p>
          <w:p w14:paraId="63500D6A" w14:textId="77777777" w:rsidR="009364E7" w:rsidRPr="009364E7" w:rsidRDefault="009364E7" w:rsidP="00D96BA0">
            <w:pPr>
              <w:spacing w:line="240" w:lineRule="auto"/>
              <w:rPr>
                <w:rFonts w:eastAsia="Times New Roman"/>
                <w:color w:val="777777"/>
                <w:lang w:eastAsia="en-AU"/>
              </w:rPr>
            </w:pPr>
          </w:p>
        </w:tc>
      </w:tr>
      <w:tr w:rsidR="009364E7" w:rsidRPr="009364E7" w14:paraId="57CCA103" w14:textId="77777777" w:rsidTr="00D96BA0">
        <w:tc>
          <w:tcPr>
            <w:tcW w:w="2115" w:type="dxa"/>
            <w:shd w:val="clear" w:color="auto" w:fill="auto"/>
            <w:tcMar>
              <w:top w:w="0" w:type="dxa"/>
              <w:left w:w="225" w:type="dxa"/>
              <w:bottom w:w="0" w:type="dxa"/>
              <w:right w:w="225" w:type="dxa"/>
            </w:tcMar>
            <w:vAlign w:val="center"/>
            <w:hideMark/>
          </w:tcPr>
          <w:p w14:paraId="00D132E5" w14:textId="77777777" w:rsidR="009364E7" w:rsidRPr="009364E7" w:rsidRDefault="009364E7" w:rsidP="00D96BA0">
            <w:pPr>
              <w:spacing w:line="240" w:lineRule="auto"/>
              <w:rPr>
                <w:rFonts w:eastAsia="Times New Roman"/>
                <w:b/>
                <w:bCs/>
                <w:color w:val="16354B"/>
                <w:lang w:eastAsia="en-AU"/>
              </w:rPr>
            </w:pPr>
            <w:r w:rsidRPr="009364E7">
              <w:rPr>
                <w:rFonts w:eastAsia="Times New Roman"/>
                <w:b/>
                <w:bCs/>
                <w:color w:val="16354B"/>
                <w:lang w:eastAsia="en-AU"/>
              </w:rPr>
              <w:t>Year</w:t>
            </w:r>
          </w:p>
        </w:tc>
        <w:tc>
          <w:tcPr>
            <w:tcW w:w="10605" w:type="dxa"/>
            <w:shd w:val="clear" w:color="auto" w:fill="auto"/>
            <w:tcMar>
              <w:top w:w="0" w:type="dxa"/>
              <w:left w:w="225" w:type="dxa"/>
              <w:bottom w:w="0" w:type="dxa"/>
              <w:right w:w="225" w:type="dxa"/>
            </w:tcMar>
            <w:vAlign w:val="center"/>
            <w:hideMark/>
          </w:tcPr>
          <w:p w14:paraId="749A200E" w14:textId="77777777" w:rsidR="009364E7" w:rsidRPr="009364E7" w:rsidRDefault="009364E7" w:rsidP="00D96BA0">
            <w:pPr>
              <w:spacing w:line="240" w:lineRule="auto"/>
              <w:ind w:left="-232"/>
              <w:rPr>
                <w:rFonts w:eastAsia="Times New Roman"/>
                <w:b/>
                <w:bCs/>
                <w:color w:val="16354B"/>
                <w:lang w:eastAsia="en-AU"/>
              </w:rPr>
            </w:pPr>
            <w:r w:rsidRPr="009364E7">
              <w:rPr>
                <w:rFonts w:eastAsia="Times New Roman"/>
                <w:b/>
                <w:bCs/>
                <w:color w:val="16354B"/>
                <w:lang w:eastAsia="en-AU"/>
              </w:rPr>
              <w:t>Strand</w:t>
            </w:r>
          </w:p>
        </w:tc>
      </w:tr>
      <w:tr w:rsidR="009364E7" w:rsidRPr="009364E7" w14:paraId="1A378F06" w14:textId="77777777" w:rsidTr="00D96BA0">
        <w:tc>
          <w:tcPr>
            <w:tcW w:w="2115" w:type="dxa"/>
            <w:shd w:val="clear" w:color="auto" w:fill="auto"/>
            <w:tcMar>
              <w:top w:w="0" w:type="dxa"/>
              <w:left w:w="225" w:type="dxa"/>
              <w:bottom w:w="0" w:type="dxa"/>
              <w:right w:w="225" w:type="dxa"/>
            </w:tcMar>
            <w:vAlign w:val="center"/>
            <w:hideMark/>
          </w:tcPr>
          <w:p w14:paraId="6049D312" w14:textId="77777777" w:rsidR="009364E7" w:rsidRPr="009364E7" w:rsidRDefault="009364E7" w:rsidP="00D96BA0">
            <w:pPr>
              <w:spacing w:line="240" w:lineRule="auto"/>
              <w:rPr>
                <w:rFonts w:eastAsia="Times New Roman"/>
                <w:b/>
                <w:bCs/>
                <w:color w:val="16354B"/>
                <w:lang w:eastAsia="en-AU"/>
              </w:rPr>
            </w:pPr>
            <w:r w:rsidRPr="009364E7">
              <w:rPr>
                <w:rFonts w:eastAsia="Times New Roman"/>
                <w:b/>
                <w:bCs/>
                <w:color w:val="16354B"/>
                <w:lang w:eastAsia="en-AU"/>
              </w:rPr>
              <w:t>7-8</w:t>
            </w:r>
          </w:p>
        </w:tc>
        <w:tc>
          <w:tcPr>
            <w:tcW w:w="0" w:type="auto"/>
            <w:shd w:val="clear" w:color="auto" w:fill="auto"/>
            <w:tcMar>
              <w:top w:w="0" w:type="dxa"/>
              <w:left w:w="0" w:type="dxa"/>
              <w:bottom w:w="0" w:type="dxa"/>
              <w:right w:w="0" w:type="dxa"/>
            </w:tcMar>
            <w:vAlign w:val="center"/>
            <w:hideMark/>
          </w:tcPr>
          <w:p w14:paraId="0B33315C" w14:textId="78F4F2FF" w:rsidR="009364E7" w:rsidRDefault="009364E7" w:rsidP="00D96BA0">
            <w:pPr>
              <w:spacing w:after="150" w:line="240" w:lineRule="auto"/>
              <w:rPr>
                <w:rFonts w:eastAsia="Times New Roman"/>
                <w:color w:val="16354B"/>
                <w:u w:val="single"/>
                <w:lang w:eastAsia="en-AU"/>
              </w:rPr>
            </w:pPr>
            <w:r w:rsidRPr="009364E7">
              <w:rPr>
                <w:rFonts w:eastAsia="Times New Roman"/>
                <w:color w:val="16354B"/>
                <w:lang w:eastAsia="en-AU"/>
              </w:rPr>
              <w:t xml:space="preserve">Acquire data from a range of sources and evaluate authenticity, accuracy and timeliness </w:t>
            </w:r>
            <w:hyperlink r:id="rId31" w:tgtFrame="_blank" w:tooltip="Opens in a new window" w:history="1">
              <w:r w:rsidRPr="009364E7">
                <w:rPr>
                  <w:rFonts w:eastAsia="Times New Roman"/>
                  <w:color w:val="16354B"/>
                  <w:u w:val="single"/>
                  <w:lang w:eastAsia="en-AU"/>
                </w:rPr>
                <w:t>(ACTDIP025)</w:t>
              </w:r>
            </w:hyperlink>
          </w:p>
          <w:p w14:paraId="681B1513" w14:textId="77777777" w:rsidR="009364E7" w:rsidRPr="009364E7" w:rsidRDefault="009364E7" w:rsidP="00D96BA0">
            <w:pPr>
              <w:spacing w:after="150" w:line="240" w:lineRule="auto"/>
              <w:rPr>
                <w:rFonts w:eastAsia="Times New Roman"/>
                <w:color w:val="16354B"/>
                <w:lang w:eastAsia="en-AU"/>
              </w:rPr>
            </w:pPr>
          </w:p>
          <w:p w14:paraId="45F94567" w14:textId="77777777" w:rsidR="009364E7" w:rsidRPr="009364E7" w:rsidRDefault="009364E7" w:rsidP="00D96BA0">
            <w:pPr>
              <w:spacing w:after="150" w:line="240" w:lineRule="auto"/>
              <w:rPr>
                <w:rFonts w:eastAsia="Times New Roman"/>
                <w:color w:val="16354B"/>
                <w:lang w:eastAsia="en-AU"/>
              </w:rPr>
            </w:pPr>
            <w:r w:rsidRPr="009364E7">
              <w:rPr>
                <w:rFonts w:eastAsia="Times New Roman"/>
                <w:color w:val="16354B"/>
                <w:lang w:eastAsia="en-AU"/>
              </w:rPr>
              <w:t xml:space="preserve">Analyse and visualise data using a range of software to create information, and use structured data to model objects or events </w:t>
            </w:r>
            <w:hyperlink r:id="rId32" w:tgtFrame="_blank" w:tooltip="Opens in a new window" w:history="1">
              <w:r w:rsidRPr="009364E7">
                <w:rPr>
                  <w:rFonts w:eastAsia="Times New Roman"/>
                  <w:color w:val="16354B"/>
                  <w:u w:val="single"/>
                  <w:lang w:eastAsia="en-AU"/>
                </w:rPr>
                <w:t>(ACTDIP026)</w:t>
              </w:r>
            </w:hyperlink>
          </w:p>
          <w:p w14:paraId="06E855FD" w14:textId="77777777" w:rsidR="009364E7" w:rsidRPr="009364E7" w:rsidRDefault="009364E7" w:rsidP="00D96BA0">
            <w:pPr>
              <w:spacing w:after="150" w:line="240" w:lineRule="auto"/>
              <w:rPr>
                <w:rFonts w:eastAsia="Times New Roman"/>
                <w:color w:val="16354B"/>
                <w:lang w:eastAsia="en-AU"/>
              </w:rPr>
            </w:pPr>
          </w:p>
        </w:tc>
      </w:tr>
    </w:tbl>
    <w:p w14:paraId="607690ED" w14:textId="77777777" w:rsidR="009364E7" w:rsidRPr="009364E7" w:rsidRDefault="009364E7" w:rsidP="009364E7"/>
    <w:tbl>
      <w:tblPr>
        <w:tblW w:w="0" w:type="auto"/>
        <w:tblCellMar>
          <w:top w:w="15" w:type="dxa"/>
          <w:left w:w="15" w:type="dxa"/>
          <w:bottom w:w="15" w:type="dxa"/>
          <w:right w:w="15" w:type="dxa"/>
        </w:tblCellMar>
        <w:tblLook w:val="04A0" w:firstRow="1" w:lastRow="0" w:firstColumn="1" w:lastColumn="0" w:noHBand="0" w:noVBand="1"/>
      </w:tblPr>
      <w:tblGrid>
        <w:gridCol w:w="1293"/>
        <w:gridCol w:w="8067"/>
      </w:tblGrid>
      <w:tr w:rsidR="009364E7" w:rsidRPr="009364E7" w14:paraId="60D71670" w14:textId="77777777" w:rsidTr="00D96BA0">
        <w:tc>
          <w:tcPr>
            <w:tcW w:w="0" w:type="auto"/>
            <w:gridSpan w:val="2"/>
            <w:tcBorders>
              <w:top w:val="nil"/>
              <w:left w:val="nil"/>
              <w:bottom w:val="nil"/>
              <w:right w:val="nil"/>
            </w:tcBorders>
            <w:shd w:val="clear" w:color="auto" w:fill="auto"/>
            <w:tcMar>
              <w:top w:w="0" w:type="dxa"/>
              <w:left w:w="225" w:type="dxa"/>
              <w:bottom w:w="0" w:type="dxa"/>
              <w:right w:w="225" w:type="dxa"/>
            </w:tcMar>
            <w:vAlign w:val="center"/>
            <w:hideMark/>
          </w:tcPr>
          <w:p w14:paraId="3FA2B355" w14:textId="77777777" w:rsidR="009364E7" w:rsidRPr="009364E7" w:rsidRDefault="009364E7" w:rsidP="00D96BA0">
            <w:pPr>
              <w:spacing w:line="240" w:lineRule="auto"/>
              <w:rPr>
                <w:rFonts w:eastAsia="Times New Roman"/>
                <w:color w:val="777777"/>
                <w:lang w:eastAsia="en-AU"/>
              </w:rPr>
            </w:pPr>
            <w:r w:rsidRPr="009364E7">
              <w:rPr>
                <w:rFonts w:eastAsia="Times New Roman"/>
                <w:color w:val="777777"/>
                <w:lang w:eastAsia="en-AU"/>
              </w:rPr>
              <w:t>Links with Science Curriculum Area.</w:t>
            </w:r>
          </w:p>
          <w:p w14:paraId="5FC6988C" w14:textId="77777777" w:rsidR="009364E7" w:rsidRPr="009364E7" w:rsidRDefault="009364E7" w:rsidP="00D96BA0">
            <w:pPr>
              <w:spacing w:line="240" w:lineRule="auto"/>
              <w:rPr>
                <w:rFonts w:eastAsia="Times New Roman"/>
                <w:color w:val="777777"/>
                <w:lang w:eastAsia="en-AU"/>
              </w:rPr>
            </w:pPr>
          </w:p>
        </w:tc>
      </w:tr>
      <w:tr w:rsidR="009364E7" w:rsidRPr="009364E7" w14:paraId="44960D75" w14:textId="77777777" w:rsidTr="00D96BA0">
        <w:tc>
          <w:tcPr>
            <w:tcW w:w="2115" w:type="dxa"/>
            <w:shd w:val="clear" w:color="auto" w:fill="auto"/>
            <w:tcMar>
              <w:top w:w="0" w:type="dxa"/>
              <w:left w:w="225" w:type="dxa"/>
              <w:bottom w:w="0" w:type="dxa"/>
              <w:right w:w="225" w:type="dxa"/>
            </w:tcMar>
            <w:vAlign w:val="center"/>
            <w:hideMark/>
          </w:tcPr>
          <w:p w14:paraId="3684AFE3" w14:textId="77777777" w:rsidR="009364E7" w:rsidRPr="009364E7" w:rsidRDefault="009364E7" w:rsidP="00D96BA0">
            <w:pPr>
              <w:spacing w:line="240" w:lineRule="auto"/>
              <w:rPr>
                <w:rFonts w:eastAsia="Times New Roman"/>
                <w:b/>
                <w:bCs/>
                <w:color w:val="16354B"/>
                <w:lang w:eastAsia="en-AU"/>
              </w:rPr>
            </w:pPr>
            <w:r w:rsidRPr="009364E7">
              <w:rPr>
                <w:rFonts w:eastAsia="Times New Roman"/>
                <w:b/>
                <w:bCs/>
                <w:color w:val="16354B"/>
                <w:lang w:eastAsia="en-AU"/>
              </w:rPr>
              <w:t>Year</w:t>
            </w:r>
          </w:p>
        </w:tc>
        <w:tc>
          <w:tcPr>
            <w:tcW w:w="10605" w:type="dxa"/>
            <w:shd w:val="clear" w:color="auto" w:fill="auto"/>
            <w:tcMar>
              <w:top w:w="0" w:type="dxa"/>
              <w:left w:w="225" w:type="dxa"/>
              <w:bottom w:w="0" w:type="dxa"/>
              <w:right w:w="225" w:type="dxa"/>
            </w:tcMar>
            <w:vAlign w:val="center"/>
            <w:hideMark/>
          </w:tcPr>
          <w:p w14:paraId="1B5C7235" w14:textId="77777777" w:rsidR="009364E7" w:rsidRPr="009364E7" w:rsidRDefault="009364E7" w:rsidP="00D96BA0">
            <w:pPr>
              <w:spacing w:line="240" w:lineRule="auto"/>
              <w:ind w:left="-232"/>
              <w:rPr>
                <w:rFonts w:eastAsia="Times New Roman"/>
                <w:b/>
                <w:bCs/>
                <w:color w:val="16354B"/>
                <w:lang w:eastAsia="en-AU"/>
              </w:rPr>
            </w:pPr>
            <w:r w:rsidRPr="009364E7">
              <w:rPr>
                <w:rFonts w:eastAsia="Times New Roman"/>
                <w:b/>
                <w:bCs/>
                <w:color w:val="16354B"/>
                <w:lang w:eastAsia="en-AU"/>
              </w:rPr>
              <w:t>Strand</w:t>
            </w:r>
          </w:p>
        </w:tc>
      </w:tr>
      <w:tr w:rsidR="009364E7" w:rsidRPr="009364E7" w14:paraId="3E687AB7" w14:textId="77777777" w:rsidTr="00D96BA0">
        <w:tc>
          <w:tcPr>
            <w:tcW w:w="2115" w:type="dxa"/>
            <w:shd w:val="clear" w:color="auto" w:fill="auto"/>
            <w:tcMar>
              <w:top w:w="0" w:type="dxa"/>
              <w:left w:w="225" w:type="dxa"/>
              <w:bottom w:w="0" w:type="dxa"/>
              <w:right w:w="225" w:type="dxa"/>
            </w:tcMar>
            <w:vAlign w:val="center"/>
            <w:hideMark/>
          </w:tcPr>
          <w:p w14:paraId="4B8F0FCE" w14:textId="77777777" w:rsidR="009364E7" w:rsidRPr="009364E7" w:rsidRDefault="009364E7" w:rsidP="00D96BA0">
            <w:pPr>
              <w:spacing w:line="240" w:lineRule="auto"/>
              <w:rPr>
                <w:rFonts w:eastAsia="Times New Roman"/>
                <w:b/>
                <w:bCs/>
                <w:color w:val="16354B"/>
                <w:lang w:eastAsia="en-AU"/>
              </w:rPr>
            </w:pPr>
            <w:r w:rsidRPr="009364E7">
              <w:rPr>
                <w:rFonts w:eastAsia="Times New Roman"/>
                <w:b/>
                <w:bCs/>
                <w:color w:val="16354B"/>
                <w:lang w:eastAsia="en-AU"/>
              </w:rPr>
              <w:t>7</w:t>
            </w:r>
          </w:p>
        </w:tc>
        <w:tc>
          <w:tcPr>
            <w:tcW w:w="0" w:type="auto"/>
            <w:shd w:val="clear" w:color="auto" w:fill="auto"/>
            <w:tcMar>
              <w:top w:w="0" w:type="dxa"/>
              <w:left w:w="0" w:type="dxa"/>
              <w:bottom w:w="0" w:type="dxa"/>
              <w:right w:w="0" w:type="dxa"/>
            </w:tcMar>
            <w:vAlign w:val="center"/>
            <w:hideMark/>
          </w:tcPr>
          <w:p w14:paraId="4A5E248E" w14:textId="29BB8AC3" w:rsidR="009364E7" w:rsidRDefault="009364E7" w:rsidP="00D96BA0">
            <w:pPr>
              <w:spacing w:after="150" w:line="240" w:lineRule="auto"/>
              <w:rPr>
                <w:rFonts w:eastAsia="Times New Roman"/>
                <w:color w:val="16354B"/>
                <w:u w:val="single"/>
                <w:lang w:eastAsia="en-AU"/>
              </w:rPr>
            </w:pPr>
            <w:r w:rsidRPr="009364E7">
              <w:rPr>
                <w:rFonts w:eastAsia="Times New Roman"/>
                <w:color w:val="16354B"/>
                <w:lang w:eastAsia="en-AU"/>
              </w:rPr>
              <w:t xml:space="preserve">Science Understanding: Some of Earth’s resources are renewable, including water that cycles through the environment, but others are non-renewable </w:t>
            </w:r>
            <w:hyperlink r:id="rId33" w:tgtFrame="_blank" w:tooltip="Opens in a new window" w:history="1">
              <w:r w:rsidRPr="009364E7">
                <w:rPr>
                  <w:rFonts w:eastAsia="Times New Roman"/>
                  <w:color w:val="16354B"/>
                  <w:u w:val="single"/>
                  <w:lang w:eastAsia="en-AU"/>
                </w:rPr>
                <w:t>(ACSSU116)</w:t>
              </w:r>
            </w:hyperlink>
          </w:p>
          <w:p w14:paraId="1AC71357" w14:textId="77777777" w:rsidR="009364E7" w:rsidRPr="009364E7" w:rsidRDefault="009364E7" w:rsidP="00D96BA0">
            <w:pPr>
              <w:spacing w:after="150" w:line="240" w:lineRule="auto"/>
              <w:rPr>
                <w:rFonts w:eastAsia="Times New Roman"/>
                <w:color w:val="16354B"/>
                <w:lang w:eastAsia="en-AU"/>
              </w:rPr>
            </w:pPr>
          </w:p>
          <w:p w14:paraId="18AD49CF" w14:textId="7FF830FB" w:rsidR="009364E7" w:rsidRDefault="009364E7" w:rsidP="00D96BA0">
            <w:pPr>
              <w:spacing w:after="150" w:line="240" w:lineRule="auto"/>
              <w:rPr>
                <w:rFonts w:eastAsia="Times New Roman"/>
                <w:color w:val="16354B"/>
                <w:u w:val="single"/>
                <w:lang w:eastAsia="en-AU"/>
              </w:rPr>
            </w:pPr>
            <w:r w:rsidRPr="009364E7">
              <w:rPr>
                <w:rFonts w:eastAsia="Times New Roman"/>
                <w:color w:val="16354B"/>
                <w:lang w:eastAsia="en-AU"/>
              </w:rPr>
              <w:t xml:space="preserve">Science Inquiry Skills: Construct and use a range of representations, including graphs, keys and models to represent and analyse patterns or relationships in data using digital technologies as appropriate </w:t>
            </w:r>
            <w:hyperlink r:id="rId34" w:tgtFrame="_blank" w:tooltip="Opens in a new window" w:history="1">
              <w:r w:rsidRPr="009364E7">
                <w:rPr>
                  <w:rFonts w:eastAsia="Times New Roman"/>
                  <w:color w:val="16354B"/>
                  <w:u w:val="single"/>
                  <w:lang w:eastAsia="en-AU"/>
                </w:rPr>
                <w:t>(ACSIS129)</w:t>
              </w:r>
            </w:hyperlink>
          </w:p>
          <w:p w14:paraId="6F7C189F" w14:textId="77777777" w:rsidR="009364E7" w:rsidRPr="009364E7" w:rsidRDefault="009364E7" w:rsidP="00D96BA0">
            <w:pPr>
              <w:spacing w:after="150" w:line="240" w:lineRule="auto"/>
              <w:rPr>
                <w:rFonts w:eastAsia="Times New Roman"/>
                <w:color w:val="16354B"/>
                <w:lang w:eastAsia="en-AU"/>
              </w:rPr>
            </w:pPr>
          </w:p>
          <w:p w14:paraId="4AF54518" w14:textId="77777777" w:rsidR="009364E7" w:rsidRPr="009364E7" w:rsidRDefault="009364E7" w:rsidP="00D96BA0">
            <w:pPr>
              <w:spacing w:after="150" w:line="240" w:lineRule="auto"/>
              <w:rPr>
                <w:rFonts w:eastAsia="Times New Roman"/>
                <w:color w:val="16354B"/>
                <w:lang w:eastAsia="en-AU"/>
              </w:rPr>
            </w:pPr>
            <w:r w:rsidRPr="009364E7">
              <w:rPr>
                <w:rFonts w:eastAsia="Times New Roman"/>
                <w:color w:val="16354B"/>
                <w:lang w:eastAsia="en-AU"/>
              </w:rPr>
              <w:t>Science Inquiry Skills: Communicate ideas, findings and evidence based solutions to problems using scientific language, and representations, using digital technologies as appropriate </w:t>
            </w:r>
            <w:hyperlink r:id="rId35" w:tgtFrame="_blank" w:tooltip="Opens in a new window" w:history="1">
              <w:r w:rsidRPr="009364E7">
                <w:rPr>
                  <w:rFonts w:eastAsia="Times New Roman"/>
                  <w:color w:val="16354B"/>
                  <w:u w:val="single"/>
                  <w:lang w:eastAsia="en-AU"/>
                </w:rPr>
                <w:t>(ACSIS133)</w:t>
              </w:r>
            </w:hyperlink>
          </w:p>
        </w:tc>
      </w:tr>
    </w:tbl>
    <w:p w14:paraId="4938A5E2" w14:textId="77777777" w:rsidR="009364E7" w:rsidRPr="009364E7" w:rsidRDefault="009364E7" w:rsidP="009364E7"/>
    <w:tbl>
      <w:tblPr>
        <w:tblW w:w="0" w:type="auto"/>
        <w:tblCellMar>
          <w:top w:w="15" w:type="dxa"/>
          <w:left w:w="15" w:type="dxa"/>
          <w:bottom w:w="15" w:type="dxa"/>
          <w:right w:w="15" w:type="dxa"/>
        </w:tblCellMar>
        <w:tblLook w:val="04A0" w:firstRow="1" w:lastRow="0" w:firstColumn="1" w:lastColumn="0" w:noHBand="0" w:noVBand="1"/>
      </w:tblPr>
      <w:tblGrid>
        <w:gridCol w:w="1293"/>
        <w:gridCol w:w="8063"/>
      </w:tblGrid>
      <w:tr w:rsidR="009364E7" w:rsidRPr="009364E7" w14:paraId="40A67EFC" w14:textId="77777777" w:rsidTr="009364E7">
        <w:tc>
          <w:tcPr>
            <w:tcW w:w="9356" w:type="dxa"/>
            <w:gridSpan w:val="2"/>
            <w:tcBorders>
              <w:top w:val="nil"/>
              <w:left w:val="nil"/>
              <w:bottom w:val="nil"/>
              <w:right w:val="nil"/>
            </w:tcBorders>
            <w:shd w:val="clear" w:color="auto" w:fill="auto"/>
            <w:tcMar>
              <w:top w:w="0" w:type="dxa"/>
              <w:left w:w="225" w:type="dxa"/>
              <w:bottom w:w="0" w:type="dxa"/>
              <w:right w:w="225" w:type="dxa"/>
            </w:tcMar>
            <w:vAlign w:val="center"/>
            <w:hideMark/>
          </w:tcPr>
          <w:p w14:paraId="12C33E59" w14:textId="77777777" w:rsidR="009364E7" w:rsidRDefault="009364E7" w:rsidP="009364E7">
            <w:pPr>
              <w:spacing w:line="240" w:lineRule="auto"/>
              <w:rPr>
                <w:rFonts w:eastAsia="Times New Roman"/>
                <w:color w:val="777777"/>
                <w:lang w:eastAsia="en-AU"/>
              </w:rPr>
            </w:pPr>
            <w:r w:rsidRPr="009364E7">
              <w:rPr>
                <w:rFonts w:eastAsia="Times New Roman"/>
                <w:color w:val="777777"/>
                <w:lang w:eastAsia="en-AU"/>
              </w:rPr>
              <w:t>Links with Mathematics Curriculum Area.</w:t>
            </w:r>
          </w:p>
          <w:p w14:paraId="3FC9ED6F" w14:textId="60DCD423" w:rsidR="009364E7" w:rsidRPr="009364E7" w:rsidRDefault="009364E7" w:rsidP="009364E7">
            <w:pPr>
              <w:spacing w:line="240" w:lineRule="auto"/>
              <w:rPr>
                <w:rFonts w:eastAsia="Times New Roman"/>
                <w:color w:val="777777"/>
                <w:lang w:eastAsia="en-AU"/>
              </w:rPr>
            </w:pPr>
          </w:p>
        </w:tc>
      </w:tr>
      <w:tr w:rsidR="009364E7" w:rsidRPr="009364E7" w14:paraId="2CB314B6" w14:textId="77777777" w:rsidTr="009364E7">
        <w:tc>
          <w:tcPr>
            <w:tcW w:w="1293" w:type="dxa"/>
            <w:tcBorders>
              <w:top w:val="nil"/>
              <w:left w:val="nil"/>
              <w:bottom w:val="nil"/>
              <w:right w:val="nil"/>
            </w:tcBorders>
            <w:shd w:val="clear" w:color="auto" w:fill="auto"/>
            <w:tcMar>
              <w:top w:w="0" w:type="dxa"/>
              <w:left w:w="225" w:type="dxa"/>
              <w:bottom w:w="0" w:type="dxa"/>
              <w:right w:w="225" w:type="dxa"/>
            </w:tcMar>
            <w:vAlign w:val="center"/>
          </w:tcPr>
          <w:p w14:paraId="28C3482C" w14:textId="13B72E23" w:rsidR="009364E7" w:rsidRPr="009364E7" w:rsidRDefault="009364E7" w:rsidP="009364E7">
            <w:pPr>
              <w:spacing w:line="240" w:lineRule="auto"/>
              <w:rPr>
                <w:rFonts w:eastAsia="Times New Roman"/>
                <w:color w:val="777777"/>
                <w:lang w:eastAsia="en-AU"/>
              </w:rPr>
            </w:pPr>
            <w:r w:rsidRPr="009364E7">
              <w:rPr>
                <w:rFonts w:eastAsia="Times New Roman"/>
                <w:b/>
                <w:bCs/>
                <w:color w:val="16354B"/>
                <w:lang w:eastAsia="en-AU"/>
              </w:rPr>
              <w:t>Year</w:t>
            </w:r>
          </w:p>
        </w:tc>
        <w:tc>
          <w:tcPr>
            <w:tcW w:w="8063" w:type="dxa"/>
            <w:tcBorders>
              <w:top w:val="nil"/>
              <w:left w:val="nil"/>
              <w:bottom w:val="nil"/>
              <w:right w:val="nil"/>
            </w:tcBorders>
            <w:shd w:val="clear" w:color="auto" w:fill="auto"/>
            <w:vAlign w:val="center"/>
          </w:tcPr>
          <w:p w14:paraId="3D48CB7B" w14:textId="260BBD6E" w:rsidR="009364E7" w:rsidRPr="009364E7" w:rsidRDefault="009364E7" w:rsidP="009364E7">
            <w:pPr>
              <w:spacing w:line="240" w:lineRule="auto"/>
              <w:rPr>
                <w:rFonts w:eastAsia="Times New Roman"/>
                <w:color w:val="777777"/>
                <w:lang w:eastAsia="en-AU"/>
              </w:rPr>
            </w:pPr>
            <w:r w:rsidRPr="009364E7">
              <w:rPr>
                <w:rFonts w:eastAsia="Times New Roman"/>
                <w:b/>
                <w:bCs/>
                <w:color w:val="16354B"/>
                <w:lang w:eastAsia="en-AU"/>
              </w:rPr>
              <w:t>Strand</w:t>
            </w:r>
          </w:p>
        </w:tc>
      </w:tr>
      <w:tr w:rsidR="009364E7" w:rsidRPr="009364E7" w14:paraId="4DFC793F" w14:textId="77777777" w:rsidTr="009364E7">
        <w:tc>
          <w:tcPr>
            <w:tcW w:w="1293" w:type="dxa"/>
            <w:tcBorders>
              <w:top w:val="nil"/>
              <w:left w:val="nil"/>
              <w:bottom w:val="nil"/>
              <w:right w:val="nil"/>
            </w:tcBorders>
            <w:shd w:val="clear" w:color="auto" w:fill="auto"/>
            <w:tcMar>
              <w:top w:w="0" w:type="dxa"/>
              <w:left w:w="225" w:type="dxa"/>
              <w:bottom w:w="0" w:type="dxa"/>
              <w:right w:w="225" w:type="dxa"/>
            </w:tcMar>
            <w:vAlign w:val="center"/>
          </w:tcPr>
          <w:p w14:paraId="5D87CFED" w14:textId="5155EF4B" w:rsidR="009364E7" w:rsidRPr="009364E7" w:rsidRDefault="009364E7" w:rsidP="009364E7">
            <w:pPr>
              <w:spacing w:line="240" w:lineRule="auto"/>
              <w:rPr>
                <w:rFonts w:eastAsia="Times New Roman"/>
                <w:b/>
                <w:bCs/>
                <w:color w:val="16354B"/>
                <w:lang w:eastAsia="en-AU"/>
              </w:rPr>
            </w:pPr>
            <w:r>
              <w:rPr>
                <w:rFonts w:eastAsia="Times New Roman"/>
                <w:b/>
                <w:bCs/>
                <w:color w:val="16354B"/>
                <w:lang w:eastAsia="en-AU"/>
              </w:rPr>
              <w:t>7</w:t>
            </w:r>
          </w:p>
        </w:tc>
        <w:tc>
          <w:tcPr>
            <w:tcW w:w="8063" w:type="dxa"/>
            <w:tcBorders>
              <w:top w:val="nil"/>
              <w:left w:val="nil"/>
              <w:bottom w:val="nil"/>
              <w:right w:val="nil"/>
            </w:tcBorders>
            <w:shd w:val="clear" w:color="auto" w:fill="auto"/>
            <w:vAlign w:val="center"/>
          </w:tcPr>
          <w:p w14:paraId="121D5A13" w14:textId="5AFBDF6B" w:rsidR="009364E7" w:rsidRDefault="009364E7" w:rsidP="009364E7">
            <w:pPr>
              <w:spacing w:after="150" w:line="240" w:lineRule="auto"/>
              <w:rPr>
                <w:rFonts w:eastAsia="Times New Roman"/>
                <w:color w:val="16354B"/>
                <w:u w:val="single"/>
                <w:lang w:eastAsia="en-AU"/>
              </w:rPr>
            </w:pPr>
            <w:r w:rsidRPr="009364E7">
              <w:rPr>
                <w:rFonts w:eastAsia="Times New Roman"/>
                <w:color w:val="16354B"/>
                <w:lang w:eastAsia="en-AU"/>
              </w:rPr>
              <w:t xml:space="preserve">Statistics and Probability: Identify and investigate issues involving numerical data collected from primary and secondary sources </w:t>
            </w:r>
            <w:hyperlink r:id="rId36" w:tgtFrame="_blank" w:tooltip="Opens in a new window" w:history="1">
              <w:r w:rsidRPr="009364E7">
                <w:rPr>
                  <w:rFonts w:eastAsia="Times New Roman"/>
                  <w:color w:val="16354B"/>
                  <w:u w:val="single"/>
                  <w:lang w:eastAsia="en-AU"/>
                </w:rPr>
                <w:t>(ACMSP169)</w:t>
              </w:r>
            </w:hyperlink>
          </w:p>
          <w:p w14:paraId="0BB6E903" w14:textId="77777777" w:rsidR="009364E7" w:rsidRPr="009364E7" w:rsidRDefault="009364E7" w:rsidP="009364E7">
            <w:pPr>
              <w:spacing w:after="150" w:line="240" w:lineRule="auto"/>
              <w:rPr>
                <w:rFonts w:eastAsia="Times New Roman"/>
                <w:color w:val="16354B"/>
                <w:lang w:eastAsia="en-AU"/>
              </w:rPr>
            </w:pPr>
          </w:p>
          <w:p w14:paraId="0B1545F3" w14:textId="77777777" w:rsidR="009364E7" w:rsidRPr="009364E7" w:rsidRDefault="009364E7" w:rsidP="009364E7">
            <w:pPr>
              <w:spacing w:after="150" w:line="240" w:lineRule="auto"/>
              <w:rPr>
                <w:rFonts w:eastAsia="Times New Roman"/>
                <w:color w:val="16354B"/>
                <w:lang w:eastAsia="en-AU"/>
              </w:rPr>
            </w:pPr>
            <w:r w:rsidRPr="009364E7">
              <w:rPr>
                <w:rFonts w:eastAsia="Times New Roman"/>
                <w:color w:val="16354B"/>
                <w:lang w:eastAsia="en-AU"/>
              </w:rPr>
              <w:t xml:space="preserve">Statistics and Probability: Construct and compare a range of data displays including stem-and-leaf plots and dot plots </w:t>
            </w:r>
            <w:hyperlink r:id="rId37" w:tgtFrame="_blank" w:tooltip="Opens in a new window" w:history="1">
              <w:r w:rsidRPr="009364E7">
                <w:rPr>
                  <w:rFonts w:eastAsia="Times New Roman"/>
                  <w:color w:val="16354B"/>
                  <w:u w:val="single"/>
                  <w:lang w:eastAsia="en-AU"/>
                </w:rPr>
                <w:t>(ACMSP170)</w:t>
              </w:r>
            </w:hyperlink>
          </w:p>
          <w:p w14:paraId="3E4090B6" w14:textId="77777777" w:rsidR="009364E7" w:rsidRPr="009364E7" w:rsidRDefault="009364E7" w:rsidP="009364E7">
            <w:pPr>
              <w:spacing w:line="240" w:lineRule="auto"/>
              <w:rPr>
                <w:rFonts w:eastAsia="Times New Roman"/>
                <w:b/>
                <w:bCs/>
                <w:color w:val="16354B"/>
                <w:lang w:eastAsia="en-AU"/>
              </w:rPr>
            </w:pPr>
          </w:p>
        </w:tc>
      </w:tr>
    </w:tbl>
    <w:p w14:paraId="2CEA78A8" w14:textId="77777777" w:rsidR="009364E7" w:rsidRPr="009364E7" w:rsidRDefault="009364E7" w:rsidP="009364E7"/>
    <w:sectPr w:rsidR="009364E7" w:rsidRPr="009364E7">
      <w:footerReference w:type="default" r:id="rId38"/>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314E76" w14:textId="77777777" w:rsidR="00272A20" w:rsidRDefault="00272A20">
      <w:pPr>
        <w:spacing w:line="240" w:lineRule="auto"/>
      </w:pPr>
      <w:r>
        <w:separator/>
      </w:r>
    </w:p>
  </w:endnote>
  <w:endnote w:type="continuationSeparator" w:id="0">
    <w:p w14:paraId="099B7666" w14:textId="77777777" w:rsidR="00272A20" w:rsidRDefault="00272A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824639" w14:textId="77777777" w:rsidR="003D6DE4" w:rsidRDefault="003D6DE4">
    <w:pPr>
      <w:contextualSpacing w:val="0"/>
      <w:jc w:val="center"/>
      <w:rPr>
        <w:color w:val="464646"/>
        <w:sz w:val="20"/>
        <w:szCs w:val="20"/>
      </w:rPr>
    </w:pPr>
    <w:r>
      <w:rPr>
        <w:color w:val="464646"/>
        <w:sz w:val="20"/>
        <w:szCs w:val="20"/>
      </w:rPr>
      <w:t xml:space="preserve">This work belongs to </w:t>
    </w:r>
    <w:hyperlink r:id="rId1">
      <w:r>
        <w:rPr>
          <w:color w:val="1155CC"/>
          <w:sz w:val="20"/>
          <w:szCs w:val="20"/>
          <w:u w:val="single"/>
        </w:rPr>
        <w:t>adsei.org</w:t>
      </w:r>
    </w:hyperlink>
    <w:r>
      <w:rPr>
        <w:color w:val="464646"/>
        <w:sz w:val="20"/>
        <w:szCs w:val="20"/>
      </w:rPr>
      <w:t xml:space="preserve"> and is licensed under a </w:t>
    </w:r>
    <w:hyperlink r:id="rId2">
      <w:r>
        <w:rPr>
          <w:color w:val="049CCF"/>
          <w:sz w:val="20"/>
          <w:szCs w:val="20"/>
          <w:u w:val="single"/>
        </w:rPr>
        <w:t>Creative Commons Attribution-NonCommercial-ShareAlike 4.0 International License</w:t>
      </w:r>
    </w:hyperlink>
    <w:r>
      <w:rPr>
        <w:color w:val="464646"/>
        <w:sz w:val="20"/>
        <w:szCs w:val="20"/>
      </w:rPr>
      <w:t>.</w:t>
    </w:r>
  </w:p>
  <w:p w14:paraId="3ACCEB46" w14:textId="540E63FC" w:rsidR="003D6DE4" w:rsidRDefault="003D6DE4">
    <w:pPr>
      <w:contextualSpacing w:val="0"/>
      <w:jc w:val="center"/>
    </w:pPr>
    <w:r>
      <w:t xml:space="preserve">Page </w:t>
    </w:r>
    <w:r>
      <w:fldChar w:fldCharType="begin"/>
    </w:r>
    <w:r>
      <w:instrText>PAGE</w:instrText>
    </w:r>
    <w:r>
      <w:fldChar w:fldCharType="separate"/>
    </w:r>
    <w:r w:rsidR="009364E7">
      <w:rPr>
        <w:noProof/>
      </w:rPr>
      <w:t>9</w:t>
    </w:r>
    <w:r>
      <w:fldChar w:fldCharType="end"/>
    </w:r>
  </w:p>
  <w:p w14:paraId="626AABDA" w14:textId="77777777" w:rsidR="003D6DE4" w:rsidRDefault="003D6DE4">
    <w:pPr>
      <w:contextualSpacing w:val="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E202C1" w14:textId="77777777" w:rsidR="00272A20" w:rsidRDefault="00272A20">
      <w:pPr>
        <w:spacing w:line="240" w:lineRule="auto"/>
      </w:pPr>
      <w:r>
        <w:separator/>
      </w:r>
    </w:p>
  </w:footnote>
  <w:footnote w:type="continuationSeparator" w:id="0">
    <w:p w14:paraId="1D5DE4BA" w14:textId="77777777" w:rsidR="00272A20" w:rsidRDefault="00272A2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350BB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F22A0C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640847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3F254E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18CCF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7346AA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FA4A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E2755A"/>
    <w:lvl w:ilvl="0">
      <w:start w:val="1"/>
      <w:numFmt w:val="bullet"/>
      <w:pStyle w:val="ListBullet2"/>
      <w:lvlText w:val="o"/>
      <w:lvlJc w:val="left"/>
      <w:pPr>
        <w:ind w:left="643" w:hanging="360"/>
      </w:pPr>
      <w:rPr>
        <w:rFonts w:ascii="Courier New" w:hAnsi="Courier New" w:cs="Courier New" w:hint="default"/>
      </w:rPr>
    </w:lvl>
  </w:abstractNum>
  <w:abstractNum w:abstractNumId="8" w15:restartNumberingAfterBreak="0">
    <w:nsid w:val="FFFFFF88"/>
    <w:multiLevelType w:val="singleLevel"/>
    <w:tmpl w:val="7B10839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AC2B6E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10F6581"/>
    <w:multiLevelType w:val="hybridMultilevel"/>
    <w:tmpl w:val="98B62E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6CC6F0D"/>
    <w:multiLevelType w:val="multilevel"/>
    <w:tmpl w:val="431C02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3777DD2"/>
    <w:multiLevelType w:val="hybridMultilevel"/>
    <w:tmpl w:val="39A8440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579E032D"/>
    <w:multiLevelType w:val="multilevel"/>
    <w:tmpl w:val="E8BAD2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5EEE27C0"/>
    <w:multiLevelType w:val="hybridMultilevel"/>
    <w:tmpl w:val="4DC6FD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6CED20C2"/>
    <w:multiLevelType w:val="hybridMultilevel"/>
    <w:tmpl w:val="ADB0C9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D3A293E"/>
    <w:multiLevelType w:val="hybridMultilevel"/>
    <w:tmpl w:val="47AE4414"/>
    <w:lvl w:ilvl="0" w:tplc="41F6C460">
      <w:start w:val="1"/>
      <w:numFmt w:val="decimal"/>
      <w:lvlText w:val="%1."/>
      <w:lvlJc w:val="left"/>
      <w:pPr>
        <w:ind w:left="360" w:hanging="360"/>
      </w:pPr>
      <w:rPr>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13"/>
  </w:num>
  <w:num w:numId="2">
    <w:abstractNumId w:val="11"/>
  </w:num>
  <w:num w:numId="3">
    <w:abstractNumId w:val="15"/>
  </w:num>
  <w:num w:numId="4">
    <w:abstractNumId w:val="12"/>
  </w:num>
  <w:num w:numId="5">
    <w:abstractNumId w:val="14"/>
  </w:num>
  <w:num w:numId="6">
    <w:abstractNumId w:val="16"/>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12B"/>
    <w:rsid w:val="000033BF"/>
    <w:rsid w:val="00027020"/>
    <w:rsid w:val="00046247"/>
    <w:rsid w:val="0005626B"/>
    <w:rsid w:val="0007762C"/>
    <w:rsid w:val="000937E6"/>
    <w:rsid w:val="0015488E"/>
    <w:rsid w:val="001D1844"/>
    <w:rsid w:val="001D705E"/>
    <w:rsid w:val="001E626E"/>
    <w:rsid w:val="00217A90"/>
    <w:rsid w:val="00242A89"/>
    <w:rsid w:val="00272A20"/>
    <w:rsid w:val="002A3CF4"/>
    <w:rsid w:val="002D2DBE"/>
    <w:rsid w:val="002D3128"/>
    <w:rsid w:val="002E0740"/>
    <w:rsid w:val="002F0D3B"/>
    <w:rsid w:val="00315C87"/>
    <w:rsid w:val="003210A4"/>
    <w:rsid w:val="00332B11"/>
    <w:rsid w:val="0036022F"/>
    <w:rsid w:val="003D18D0"/>
    <w:rsid w:val="003D6DE4"/>
    <w:rsid w:val="00432CE0"/>
    <w:rsid w:val="0047390E"/>
    <w:rsid w:val="004B49A8"/>
    <w:rsid w:val="004C2A41"/>
    <w:rsid w:val="004E312B"/>
    <w:rsid w:val="00546D51"/>
    <w:rsid w:val="00556008"/>
    <w:rsid w:val="00572EED"/>
    <w:rsid w:val="00595678"/>
    <w:rsid w:val="005D4F1A"/>
    <w:rsid w:val="005E5CCB"/>
    <w:rsid w:val="005F538D"/>
    <w:rsid w:val="0060240F"/>
    <w:rsid w:val="0062005E"/>
    <w:rsid w:val="00656687"/>
    <w:rsid w:val="00676392"/>
    <w:rsid w:val="006B7394"/>
    <w:rsid w:val="0073576F"/>
    <w:rsid w:val="00754A2E"/>
    <w:rsid w:val="007E348E"/>
    <w:rsid w:val="00830D3F"/>
    <w:rsid w:val="0086580C"/>
    <w:rsid w:val="008B74C7"/>
    <w:rsid w:val="008C2952"/>
    <w:rsid w:val="009364E7"/>
    <w:rsid w:val="009542B5"/>
    <w:rsid w:val="009927CF"/>
    <w:rsid w:val="009F050E"/>
    <w:rsid w:val="00A45820"/>
    <w:rsid w:val="00AB7A1F"/>
    <w:rsid w:val="00B00221"/>
    <w:rsid w:val="00B57ED8"/>
    <w:rsid w:val="00B719AD"/>
    <w:rsid w:val="00BE5BAB"/>
    <w:rsid w:val="00BF578D"/>
    <w:rsid w:val="00C14A8B"/>
    <w:rsid w:val="00C80C4E"/>
    <w:rsid w:val="00CE6BEB"/>
    <w:rsid w:val="00D96773"/>
    <w:rsid w:val="00DB49BC"/>
    <w:rsid w:val="00DC2269"/>
    <w:rsid w:val="00E33403"/>
    <w:rsid w:val="00E41B27"/>
    <w:rsid w:val="00F3333D"/>
    <w:rsid w:val="00F57A6A"/>
    <w:rsid w:val="00F74911"/>
    <w:rsid w:val="00F85CFE"/>
    <w:rsid w:val="00FB4E33"/>
    <w:rsid w:val="00FE42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3EFBE"/>
  <w15:docId w15:val="{58AD3C24-CAC1-4531-830C-20903F6BE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contextualSpacing/>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D2DBE"/>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character" w:styleId="Hyperlink">
    <w:name w:val="Hyperlink"/>
    <w:basedOn w:val="DefaultParagraphFont"/>
    <w:uiPriority w:val="99"/>
    <w:unhideWhenUsed/>
    <w:rsid w:val="0062005E"/>
    <w:rPr>
      <w:color w:val="0000FF" w:themeColor="hyperlink"/>
      <w:u w:val="single"/>
    </w:rPr>
  </w:style>
  <w:style w:type="table" w:styleId="TableGrid">
    <w:name w:val="Table Grid"/>
    <w:basedOn w:val="TableNormal"/>
    <w:uiPriority w:val="39"/>
    <w:rsid w:val="00242A8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542B5"/>
    <w:rPr>
      <w:color w:val="800080" w:themeColor="followedHyperlink"/>
      <w:u w:val="single"/>
    </w:rPr>
  </w:style>
  <w:style w:type="paragraph" w:styleId="ListParagraph">
    <w:name w:val="List Paragraph"/>
    <w:basedOn w:val="Normal"/>
    <w:uiPriority w:val="34"/>
    <w:qFormat/>
    <w:rsid w:val="008B74C7"/>
    <w:pPr>
      <w:ind w:left="720"/>
    </w:pPr>
  </w:style>
  <w:style w:type="paragraph" w:styleId="BalloonText">
    <w:name w:val="Balloon Text"/>
    <w:basedOn w:val="Normal"/>
    <w:link w:val="BalloonTextChar"/>
    <w:uiPriority w:val="99"/>
    <w:semiHidden/>
    <w:unhideWhenUsed/>
    <w:rsid w:val="00F3333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333D"/>
    <w:rPr>
      <w:rFonts w:ascii="Segoe UI" w:hAnsi="Segoe UI" w:cs="Segoe UI"/>
      <w:sz w:val="18"/>
      <w:szCs w:val="18"/>
    </w:rPr>
  </w:style>
  <w:style w:type="character" w:styleId="CommentReference">
    <w:name w:val="annotation reference"/>
    <w:basedOn w:val="DefaultParagraphFont"/>
    <w:uiPriority w:val="99"/>
    <w:semiHidden/>
    <w:unhideWhenUsed/>
    <w:rsid w:val="001E626E"/>
    <w:rPr>
      <w:sz w:val="16"/>
      <w:szCs w:val="16"/>
    </w:rPr>
  </w:style>
  <w:style w:type="paragraph" w:styleId="CommentText">
    <w:name w:val="annotation text"/>
    <w:basedOn w:val="Normal"/>
    <w:link w:val="CommentTextChar"/>
    <w:uiPriority w:val="99"/>
    <w:semiHidden/>
    <w:unhideWhenUsed/>
    <w:rsid w:val="001E626E"/>
    <w:pPr>
      <w:spacing w:line="240" w:lineRule="auto"/>
    </w:pPr>
    <w:rPr>
      <w:sz w:val="20"/>
      <w:szCs w:val="20"/>
    </w:rPr>
  </w:style>
  <w:style w:type="character" w:customStyle="1" w:styleId="CommentTextChar">
    <w:name w:val="Comment Text Char"/>
    <w:basedOn w:val="DefaultParagraphFont"/>
    <w:link w:val="CommentText"/>
    <w:uiPriority w:val="99"/>
    <w:semiHidden/>
    <w:rsid w:val="001E626E"/>
    <w:rPr>
      <w:sz w:val="20"/>
      <w:szCs w:val="20"/>
    </w:rPr>
  </w:style>
  <w:style w:type="paragraph" w:styleId="CommentSubject">
    <w:name w:val="annotation subject"/>
    <w:basedOn w:val="CommentText"/>
    <w:next w:val="CommentText"/>
    <w:link w:val="CommentSubjectChar"/>
    <w:uiPriority w:val="99"/>
    <w:semiHidden/>
    <w:unhideWhenUsed/>
    <w:rsid w:val="001E626E"/>
    <w:rPr>
      <w:b/>
      <w:bCs/>
    </w:rPr>
  </w:style>
  <w:style w:type="character" w:customStyle="1" w:styleId="CommentSubjectChar">
    <w:name w:val="Comment Subject Char"/>
    <w:basedOn w:val="CommentTextChar"/>
    <w:link w:val="CommentSubject"/>
    <w:uiPriority w:val="99"/>
    <w:semiHidden/>
    <w:rsid w:val="001E626E"/>
    <w:rPr>
      <w:b/>
      <w:bCs/>
      <w:sz w:val="20"/>
      <w:szCs w:val="20"/>
    </w:rPr>
  </w:style>
  <w:style w:type="paragraph" w:styleId="Revision">
    <w:name w:val="Revision"/>
    <w:hidden/>
    <w:uiPriority w:val="99"/>
    <w:semiHidden/>
    <w:rsid w:val="00830D3F"/>
    <w:pPr>
      <w:spacing w:line="240" w:lineRule="auto"/>
      <w:contextualSpacing w:val="0"/>
    </w:pPr>
  </w:style>
  <w:style w:type="paragraph" w:customStyle="1" w:styleId="Style1">
    <w:name w:val="Style1"/>
    <w:basedOn w:val="Normal"/>
    <w:rsid w:val="002D2DBE"/>
    <w:pPr>
      <w:spacing w:before="60"/>
      <w:contextualSpacing w:val="0"/>
    </w:pPr>
  </w:style>
  <w:style w:type="paragraph" w:styleId="ListBullet">
    <w:name w:val="List Bullet"/>
    <w:basedOn w:val="Normal"/>
    <w:uiPriority w:val="99"/>
    <w:unhideWhenUsed/>
    <w:rsid w:val="006B7394"/>
    <w:pPr>
      <w:numPr>
        <w:numId w:val="7"/>
      </w:numPr>
    </w:pPr>
  </w:style>
  <w:style w:type="paragraph" w:styleId="ListBullet2">
    <w:name w:val="List Bullet 2"/>
    <w:basedOn w:val="Normal"/>
    <w:uiPriority w:val="99"/>
    <w:unhideWhenUsed/>
    <w:rsid w:val="006B7394"/>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364136">
      <w:bodyDiv w:val="1"/>
      <w:marLeft w:val="0"/>
      <w:marRight w:val="0"/>
      <w:marTop w:val="0"/>
      <w:marBottom w:val="0"/>
      <w:divBdr>
        <w:top w:val="none" w:sz="0" w:space="0" w:color="auto"/>
        <w:left w:val="none" w:sz="0" w:space="0" w:color="auto"/>
        <w:bottom w:val="none" w:sz="0" w:space="0" w:color="auto"/>
        <w:right w:val="none" w:sz="0" w:space="0" w:color="auto"/>
      </w:divBdr>
    </w:div>
    <w:div w:id="136530911">
      <w:bodyDiv w:val="1"/>
      <w:marLeft w:val="0"/>
      <w:marRight w:val="0"/>
      <w:marTop w:val="0"/>
      <w:marBottom w:val="0"/>
      <w:divBdr>
        <w:top w:val="none" w:sz="0" w:space="0" w:color="auto"/>
        <w:left w:val="none" w:sz="0" w:space="0" w:color="auto"/>
        <w:bottom w:val="none" w:sz="0" w:space="0" w:color="auto"/>
        <w:right w:val="none" w:sz="0" w:space="0" w:color="auto"/>
      </w:divBdr>
      <w:divsChild>
        <w:div w:id="1381590744">
          <w:marLeft w:val="0"/>
          <w:marRight w:val="0"/>
          <w:marTop w:val="0"/>
          <w:marBottom w:val="0"/>
          <w:divBdr>
            <w:top w:val="none" w:sz="0" w:space="0" w:color="auto"/>
            <w:left w:val="none" w:sz="0" w:space="0" w:color="auto"/>
            <w:bottom w:val="none" w:sz="0" w:space="0" w:color="auto"/>
            <w:right w:val="none" w:sz="0" w:space="0" w:color="auto"/>
          </w:divBdr>
          <w:divsChild>
            <w:div w:id="905720214">
              <w:marLeft w:val="0"/>
              <w:marRight w:val="0"/>
              <w:marTop w:val="0"/>
              <w:marBottom w:val="0"/>
              <w:divBdr>
                <w:top w:val="none" w:sz="0" w:space="0" w:color="auto"/>
                <w:left w:val="none" w:sz="0" w:space="0" w:color="auto"/>
                <w:bottom w:val="none" w:sz="0" w:space="0" w:color="auto"/>
                <w:right w:val="none" w:sz="0" w:space="0" w:color="auto"/>
              </w:divBdr>
              <w:divsChild>
                <w:div w:id="652296988">
                  <w:marLeft w:val="0"/>
                  <w:marRight w:val="0"/>
                  <w:marTop w:val="0"/>
                  <w:marBottom w:val="0"/>
                  <w:divBdr>
                    <w:top w:val="none" w:sz="0" w:space="0" w:color="auto"/>
                    <w:left w:val="none" w:sz="0" w:space="0" w:color="auto"/>
                    <w:bottom w:val="none" w:sz="0" w:space="0" w:color="auto"/>
                    <w:right w:val="none" w:sz="0" w:space="0" w:color="auto"/>
                  </w:divBdr>
                  <w:divsChild>
                    <w:div w:id="59860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379398">
          <w:marLeft w:val="0"/>
          <w:marRight w:val="0"/>
          <w:marTop w:val="0"/>
          <w:marBottom w:val="0"/>
          <w:divBdr>
            <w:top w:val="none" w:sz="0" w:space="0" w:color="auto"/>
            <w:left w:val="none" w:sz="0" w:space="0" w:color="auto"/>
            <w:bottom w:val="none" w:sz="0" w:space="0" w:color="auto"/>
            <w:right w:val="none" w:sz="0" w:space="0" w:color="auto"/>
          </w:divBdr>
          <w:divsChild>
            <w:div w:id="1228419678">
              <w:marLeft w:val="0"/>
              <w:marRight w:val="0"/>
              <w:marTop w:val="0"/>
              <w:marBottom w:val="0"/>
              <w:divBdr>
                <w:top w:val="none" w:sz="0" w:space="0" w:color="auto"/>
                <w:left w:val="none" w:sz="0" w:space="0" w:color="auto"/>
                <w:bottom w:val="none" w:sz="0" w:space="0" w:color="auto"/>
                <w:right w:val="none" w:sz="0" w:space="0" w:color="auto"/>
              </w:divBdr>
              <w:divsChild>
                <w:div w:id="29290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23720">
      <w:bodyDiv w:val="1"/>
      <w:marLeft w:val="0"/>
      <w:marRight w:val="0"/>
      <w:marTop w:val="0"/>
      <w:marBottom w:val="0"/>
      <w:divBdr>
        <w:top w:val="none" w:sz="0" w:space="0" w:color="auto"/>
        <w:left w:val="none" w:sz="0" w:space="0" w:color="auto"/>
        <w:bottom w:val="none" w:sz="0" w:space="0" w:color="auto"/>
        <w:right w:val="none" w:sz="0" w:space="0" w:color="auto"/>
      </w:divBdr>
    </w:div>
    <w:div w:id="242107622">
      <w:bodyDiv w:val="1"/>
      <w:marLeft w:val="0"/>
      <w:marRight w:val="0"/>
      <w:marTop w:val="0"/>
      <w:marBottom w:val="0"/>
      <w:divBdr>
        <w:top w:val="none" w:sz="0" w:space="0" w:color="auto"/>
        <w:left w:val="none" w:sz="0" w:space="0" w:color="auto"/>
        <w:bottom w:val="none" w:sz="0" w:space="0" w:color="auto"/>
        <w:right w:val="none" w:sz="0" w:space="0" w:color="auto"/>
      </w:divBdr>
    </w:div>
    <w:div w:id="304507263">
      <w:bodyDiv w:val="1"/>
      <w:marLeft w:val="0"/>
      <w:marRight w:val="0"/>
      <w:marTop w:val="0"/>
      <w:marBottom w:val="0"/>
      <w:divBdr>
        <w:top w:val="none" w:sz="0" w:space="0" w:color="auto"/>
        <w:left w:val="none" w:sz="0" w:space="0" w:color="auto"/>
        <w:bottom w:val="none" w:sz="0" w:space="0" w:color="auto"/>
        <w:right w:val="none" w:sz="0" w:space="0" w:color="auto"/>
      </w:divBdr>
    </w:div>
    <w:div w:id="1062827116">
      <w:bodyDiv w:val="1"/>
      <w:marLeft w:val="0"/>
      <w:marRight w:val="0"/>
      <w:marTop w:val="0"/>
      <w:marBottom w:val="0"/>
      <w:divBdr>
        <w:top w:val="none" w:sz="0" w:space="0" w:color="auto"/>
        <w:left w:val="none" w:sz="0" w:space="0" w:color="auto"/>
        <w:bottom w:val="none" w:sz="0" w:space="0" w:color="auto"/>
        <w:right w:val="none" w:sz="0" w:space="0" w:color="auto"/>
      </w:divBdr>
    </w:div>
    <w:div w:id="1283729979">
      <w:bodyDiv w:val="1"/>
      <w:marLeft w:val="0"/>
      <w:marRight w:val="0"/>
      <w:marTop w:val="0"/>
      <w:marBottom w:val="0"/>
      <w:divBdr>
        <w:top w:val="none" w:sz="0" w:space="0" w:color="auto"/>
        <w:left w:val="none" w:sz="0" w:space="0" w:color="auto"/>
        <w:bottom w:val="none" w:sz="0" w:space="0" w:color="auto"/>
        <w:right w:val="none" w:sz="0" w:space="0" w:color="auto"/>
      </w:divBdr>
    </w:div>
    <w:div w:id="1285423707">
      <w:bodyDiv w:val="1"/>
      <w:marLeft w:val="0"/>
      <w:marRight w:val="0"/>
      <w:marTop w:val="0"/>
      <w:marBottom w:val="0"/>
      <w:divBdr>
        <w:top w:val="none" w:sz="0" w:space="0" w:color="auto"/>
        <w:left w:val="none" w:sz="0" w:space="0" w:color="auto"/>
        <w:bottom w:val="none" w:sz="0" w:space="0" w:color="auto"/>
        <w:right w:val="none" w:sz="0" w:space="0" w:color="auto"/>
      </w:divBdr>
    </w:div>
    <w:div w:id="1684698957">
      <w:bodyDiv w:val="1"/>
      <w:marLeft w:val="0"/>
      <w:marRight w:val="0"/>
      <w:marTop w:val="0"/>
      <w:marBottom w:val="0"/>
      <w:divBdr>
        <w:top w:val="none" w:sz="0" w:space="0" w:color="auto"/>
        <w:left w:val="none" w:sz="0" w:space="0" w:color="auto"/>
        <w:bottom w:val="none" w:sz="0" w:space="0" w:color="auto"/>
        <w:right w:val="none" w:sz="0" w:space="0" w:color="auto"/>
      </w:divBdr>
    </w:div>
    <w:div w:id="19649247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cleanenergyregulator.gov.au/RET/Forms-and-resources/Postcode-data-for-small-scale-installations" TargetMode="External"/><Relationship Id="rId18" Type="http://schemas.openxmlformats.org/officeDocument/2006/relationships/image" Target="media/image4.png"/><Relationship Id="rId26" Type="http://schemas.openxmlformats.org/officeDocument/2006/relationships/hyperlink" Target="http://pv-map.apvi.org.au/" TargetMode="External"/><Relationship Id="rId39" Type="http://schemas.openxmlformats.org/officeDocument/2006/relationships/fontTable" Target="fontTable.xml"/><Relationship Id="rId21" Type="http://schemas.openxmlformats.org/officeDocument/2006/relationships/image" Target="media/image5.png"/><Relationship Id="rId34" Type="http://schemas.openxmlformats.org/officeDocument/2006/relationships/hyperlink" Target="https://www.australiancurriculum.edu.au/Search/?q=ACSIS129" TargetMode="External"/><Relationship Id="rId7" Type="http://schemas.openxmlformats.org/officeDocument/2006/relationships/endnotes" Target="endnotes.xml"/><Relationship Id="rId12" Type="http://schemas.openxmlformats.org/officeDocument/2006/relationships/hyperlink" Target="https://www.youtube.com/watch?v=xKxrkht7CpY" TargetMode="External"/><Relationship Id="rId17" Type="http://schemas.openxmlformats.org/officeDocument/2006/relationships/image" Target="media/image3.png"/><Relationship Id="rId25" Type="http://schemas.openxmlformats.org/officeDocument/2006/relationships/hyperlink" Target="http://www.cleanenergyregulator.gov.au/RET/Forms-and-resources/Postcode-data-for-small-scale-installations" TargetMode="External"/><Relationship Id="rId33" Type="http://schemas.openxmlformats.org/officeDocument/2006/relationships/hyperlink" Target="https://www.australiancurriculum.edu.au/Search/?q=ACSSU116"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auspost.com.au/apps/postcode.html?&amp;ecid=p13702606834" TargetMode="External"/><Relationship Id="rId20" Type="http://schemas.openxmlformats.org/officeDocument/2006/relationships/hyperlink" Target="https://www.smh.com.au/environment/sustainability/queensland-city-tops-national-solar-panel-list-20180615-p4zlni.html" TargetMode="External"/><Relationship Id="rId29" Type="http://schemas.openxmlformats.org/officeDocument/2006/relationships/hyperlink" Target="http://post-code.net.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1kUE0BZtTRc" TargetMode="External"/><Relationship Id="rId24" Type="http://schemas.openxmlformats.org/officeDocument/2006/relationships/hyperlink" Target="http://nationalmap.gov.au/" TargetMode="External"/><Relationship Id="rId32" Type="http://schemas.openxmlformats.org/officeDocument/2006/relationships/hyperlink" Target="https://www.australiancurriculum.edu.au/Search/?q=ACTDIP026" TargetMode="External"/><Relationship Id="rId37" Type="http://schemas.openxmlformats.org/officeDocument/2006/relationships/hyperlink" Target="https://www.australiancurriculum.edu.au/Search/?q=ACMSP170"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image" Target="media/image6.png"/><Relationship Id="rId28" Type="http://schemas.openxmlformats.org/officeDocument/2006/relationships/hyperlink" Target="https://auspost.com.au/postcode/caboolture/qld/efba" TargetMode="External"/><Relationship Id="rId36" Type="http://schemas.openxmlformats.org/officeDocument/2006/relationships/hyperlink" Target="https://www.australiancurriculum.edu.au/Search/?q=ACMSP169" TargetMode="External"/><Relationship Id="rId10" Type="http://schemas.openxmlformats.org/officeDocument/2006/relationships/hyperlink" Target="https://adsei.org/" TargetMode="External"/><Relationship Id="rId19" Type="http://schemas.openxmlformats.org/officeDocument/2006/relationships/hyperlink" Target="https://www.domain.com.au/news/australias-top-10-solarfriendly-postcodes-revealed-20180502-h0zjp0/" TargetMode="External"/><Relationship Id="rId31" Type="http://schemas.openxmlformats.org/officeDocument/2006/relationships/hyperlink" Target="https://www.australiancurriculum.edu.au/Search/?q=ACTDIP025" TargetMode="External"/><Relationship Id="rId4" Type="http://schemas.openxmlformats.org/officeDocument/2006/relationships/settings" Target="settings.xml"/><Relationship Id="rId9" Type="http://schemas.openxmlformats.org/officeDocument/2006/relationships/hyperlink" Target="https://pixabay.com/en/solar-panel-array-roof-building-1794514/" TargetMode="External"/><Relationship Id="rId14" Type="http://schemas.openxmlformats.org/officeDocument/2006/relationships/hyperlink" Target="http://www.cleanenergyregulator.gov.au/DocumentAssets/Pages/Postcode-data-for-small-scale-installations---SGU-Solar.aspx" TargetMode="External"/><Relationship Id="rId22" Type="http://schemas.openxmlformats.org/officeDocument/2006/relationships/hyperlink" Target="https://nces.ed.gov/nceskids/help/user_guide/graph/whentouse.asp" TargetMode="External"/><Relationship Id="rId27" Type="http://schemas.openxmlformats.org/officeDocument/2006/relationships/hyperlink" Target="http://nationalmap.gov.au/" TargetMode="External"/><Relationship Id="rId30" Type="http://schemas.openxmlformats.org/officeDocument/2006/relationships/hyperlink" Target="https://nces.ed.gov/nceskids/help/user_guide/graph/whentouse.asp" TargetMode="External"/><Relationship Id="rId35" Type="http://schemas.openxmlformats.org/officeDocument/2006/relationships/hyperlink" Target="https://www.australiancurriculum.edu.au/Search/?q=ACSIS133" TargetMode="External"/><Relationship Id="rId8" Type="http://schemas.openxmlformats.org/officeDocument/2006/relationships/image" Target="media/image1.jpeg"/><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hyperlink" Target="http://creativecommons.org/licenses/by-nc-sa/4.0/" TargetMode="External"/><Relationship Id="rId1" Type="http://schemas.openxmlformats.org/officeDocument/2006/relationships/hyperlink" Target="https://adse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6A30C8-D5B6-45AB-B838-6ECE85C3F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9</Pages>
  <Words>2211</Words>
  <Characters>12609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Richards, Martin</dc:creator>
  <cp:lastModifiedBy>Hendricksen, Natalie</cp:lastModifiedBy>
  <cp:revision>3</cp:revision>
  <dcterms:created xsi:type="dcterms:W3CDTF">2019-02-19T22:20:00Z</dcterms:created>
  <dcterms:modified xsi:type="dcterms:W3CDTF">2019-02-19T22:26:00Z</dcterms:modified>
</cp:coreProperties>
</file>